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3A41" w:rsidRPr="00500C4E" w:rsidRDefault="00A57D36" w:rsidP="00A57D36">
      <w:pPr>
        <w:pStyle w:val="WPnumber"/>
      </w:pPr>
      <w:bookmarkStart w:id="0" w:name="_Toc153189647"/>
      <w:bookmarkStart w:id="1" w:name="_Toc214003082"/>
      <w:bookmarkStart w:id="2" w:name="_GoBack"/>
      <w:bookmarkEnd w:id="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847D0B">
            <w:t>WPSDGEREMI</w:t>
          </w:r>
          <w:r w:rsidR="00ED57E7">
            <w:t>006</w:t>
          </w:r>
        </w:sdtContent>
      </w:sdt>
    </w:p>
    <w:bookmarkEnd w:id="0"/>
    <w:p w:rsidR="00DA690B" w:rsidRPr="00500C4E" w:rsidRDefault="00724479"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847D0B">
            <w:rPr>
              <w:rStyle w:val="CaptionChar"/>
              <w:rFonts w:asciiTheme="minorHAnsi" w:hAnsiTheme="minorHAnsi" w:cstheme="minorHAnsi"/>
              <w:b/>
              <w:bCs w:val="0"/>
              <w:sz w:val="48"/>
              <w:szCs w:val="48"/>
            </w:rPr>
            <w:t>0</w:t>
          </w:r>
        </w:sdtContent>
      </w:sdt>
    </w:p>
    <w:p w:rsidR="00285A0D" w:rsidRPr="00500C4E" w:rsidRDefault="00285A0D" w:rsidP="00DE5758">
      <w:pPr>
        <w:jc w:val="right"/>
        <w:rPr>
          <w:rFonts w:cstheme="minorHAnsi"/>
          <w:b/>
          <w:sz w:val="48"/>
          <w:szCs w:val="48"/>
        </w:rPr>
      </w:pPr>
    </w:p>
    <w:bookmarkStart w:id="3" w:name="SCE"/>
    <w:p w:rsidR="00DA690B" w:rsidRPr="00500C4E" w:rsidRDefault="00724479"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847D0B">
            <w:rPr>
              <w:rFonts w:cstheme="minorHAnsi"/>
              <w:b/>
              <w:sz w:val="36"/>
              <w:szCs w:val="36"/>
            </w:rPr>
            <w:t>San Diego Gas &amp; Electric</w:t>
          </w:r>
        </w:sdtContent>
      </w:sdt>
      <w:bookmarkEnd w:id="3"/>
    </w:p>
    <w:p w:rsidR="00DA690B" w:rsidRPr="00500C4E" w:rsidRDefault="00DA690B" w:rsidP="00DA690B">
      <w:pPr>
        <w:rPr>
          <w:rFonts w:cstheme="minorHAnsi"/>
        </w:rPr>
      </w:pPr>
    </w:p>
    <w:p w:rsidR="00DA690B" w:rsidRPr="00500C4E" w:rsidRDefault="00DA690B" w:rsidP="00DA690B">
      <w:pPr>
        <w:rPr>
          <w:rFonts w:cstheme="minorHAnsi"/>
        </w:rPr>
      </w:pPr>
    </w:p>
    <w:p w:rsidR="00DA690B" w:rsidRPr="00500C4E" w:rsidRDefault="009D0753" w:rsidP="009D0753">
      <w:pPr>
        <w:tabs>
          <w:tab w:val="left" w:pos="8190"/>
        </w:tabs>
        <w:rPr>
          <w:rFonts w:cstheme="minorHAnsi"/>
        </w:rPr>
      </w:pPr>
      <w:r w:rsidRPr="00500C4E">
        <w:rPr>
          <w:rFonts w:cstheme="minorHAnsi"/>
        </w:rPr>
        <w:tab/>
      </w:r>
    </w:p>
    <w:p w:rsidR="00DA690B" w:rsidRPr="00500C4E" w:rsidRDefault="00DA690B" w:rsidP="00DA690B">
      <w:pPr>
        <w:rPr>
          <w:rFonts w:cstheme="minorHAnsi"/>
        </w:rPr>
      </w:pPr>
    </w:p>
    <w:p w:rsidR="00DA690B" w:rsidRPr="00500C4E" w:rsidRDefault="00DA690B" w:rsidP="00DA690B">
      <w:pPr>
        <w:rPr>
          <w:rFonts w:cstheme="minorHAnsi"/>
        </w:rPr>
      </w:pPr>
    </w:p>
    <w:p w:rsidR="00DA690B" w:rsidRPr="00500C4E" w:rsidRDefault="00DA690B" w:rsidP="00DA690B">
      <w:pPr>
        <w:rPr>
          <w:rFonts w:cstheme="minorHAnsi"/>
        </w:rPr>
      </w:pPr>
    </w:p>
    <w:p w:rsidR="00DA690B" w:rsidRPr="00500C4E" w:rsidRDefault="00DA690B" w:rsidP="00DA690B">
      <w:pPr>
        <w:rPr>
          <w:rFonts w:cstheme="minorHAnsi"/>
        </w:rPr>
      </w:pPr>
    </w:p>
    <w:p w:rsidR="00DA690B" w:rsidRPr="00500C4E" w:rsidRDefault="00DA690B" w:rsidP="00DA690B">
      <w:pPr>
        <w:rPr>
          <w:rFonts w:cstheme="minorHAnsi"/>
        </w:rPr>
      </w:pPr>
    </w:p>
    <w:p w:rsidR="00DA690B" w:rsidRPr="00500C4E" w:rsidRDefault="00847D0B" w:rsidP="00DA690B">
      <w:pPr>
        <w:rPr>
          <w:rFonts w:cstheme="minorHAnsi"/>
          <w:b/>
          <w:sz w:val="72"/>
          <w:szCs w:val="72"/>
        </w:rPr>
      </w:pPr>
      <w:r>
        <w:rPr>
          <w:rFonts w:cstheme="minorHAnsi"/>
          <w:b/>
          <w:sz w:val="72"/>
          <w:szCs w:val="72"/>
        </w:rPr>
        <w:t>Prescriptive Window Retrofit</w:t>
      </w:r>
      <w:r w:rsidR="00DA690B" w:rsidRPr="00500C4E">
        <w:rPr>
          <w:rFonts w:cstheme="minorHAnsi"/>
          <w:b/>
          <w:sz w:val="72"/>
          <w:szCs w:val="72"/>
        </w:rPr>
        <w:t xml:space="preserve"> </w:t>
      </w:r>
    </w:p>
    <w:p w:rsidR="00E76B31" w:rsidRPr="00500C4E" w:rsidRDefault="00E76B31" w:rsidP="00E76B31">
      <w:pPr>
        <w:pStyle w:val="Reminders"/>
        <w:rPr>
          <w:rFonts w:asciiTheme="minorHAnsi" w:hAnsiTheme="minorHAnsi" w:cstheme="minorHAnsi"/>
          <w:i w:val="0"/>
          <w:szCs w:val="22"/>
        </w:rPr>
      </w:pPr>
    </w:p>
    <w:p w:rsidR="00523736" w:rsidRPr="00500C4E" w:rsidRDefault="00523736" w:rsidP="00E76B31">
      <w:pPr>
        <w:pStyle w:val="Reminders"/>
        <w:rPr>
          <w:rFonts w:asciiTheme="minorHAnsi" w:hAnsiTheme="minorHAnsi" w:cstheme="minorHAnsi"/>
          <w:b/>
          <w:i w:val="0"/>
          <w:sz w:val="32"/>
          <w:szCs w:val="22"/>
        </w:rPr>
      </w:pPr>
    </w:p>
    <w:p w:rsidR="00EF4E6B" w:rsidRPr="00500C4E" w:rsidRDefault="00EF4E6B" w:rsidP="00E76B31">
      <w:pPr>
        <w:pStyle w:val="Reminders"/>
        <w:rPr>
          <w:rFonts w:asciiTheme="minorHAnsi" w:hAnsiTheme="minorHAnsi" w:cstheme="minorHAnsi"/>
          <w:b/>
          <w:i w:val="0"/>
          <w:sz w:val="32"/>
          <w:szCs w:val="22"/>
        </w:rPr>
      </w:pPr>
    </w:p>
    <w:p w:rsidR="00322982" w:rsidRDefault="00322982">
      <w:pPr>
        <w:spacing w:after="200" w:line="276" w:lineRule="auto"/>
        <w:rPr>
          <w:rFonts w:cs="Arial"/>
          <w:b/>
          <w:bCs/>
          <w:smallCaps/>
          <w:kern w:val="32"/>
          <w:sz w:val="36"/>
          <w:szCs w:val="32"/>
        </w:rPr>
      </w:pPr>
      <w:bookmarkStart w:id="4" w:name="_Toc304800192"/>
      <w:bookmarkStart w:id="5" w:name="_Toc324318330"/>
      <w:bookmarkStart w:id="6" w:name="_Toc324340474"/>
      <w:bookmarkStart w:id="7" w:name="_Toc324433427"/>
      <w:r>
        <w:br w:type="page"/>
      </w:r>
    </w:p>
    <w:p w:rsidR="00290ED8" w:rsidRPr="00500C4E" w:rsidRDefault="00290ED8" w:rsidP="00AC5309">
      <w:pPr>
        <w:pStyle w:val="Heading1"/>
      </w:pPr>
      <w:r w:rsidRPr="00500C4E">
        <w:lastRenderedPageBreak/>
        <w:t>At-a-Glance Summary</w:t>
      </w:r>
      <w:bookmarkEnd w:id="4"/>
      <w:bookmarkEnd w:id="5"/>
      <w:bookmarkEnd w:id="6"/>
      <w:bookmarkEnd w:id="7"/>
    </w:p>
    <w:tbl>
      <w:tblPr>
        <w:tblStyle w:val="TableGrid1"/>
        <w:tblW w:w="5000" w:type="pct"/>
        <w:tblLook w:val="01E0" w:firstRow="1" w:lastRow="1" w:firstColumn="1" w:lastColumn="1" w:noHBand="0" w:noVBand="0"/>
      </w:tblPr>
      <w:tblGrid>
        <w:gridCol w:w="3591"/>
        <w:gridCol w:w="5985"/>
      </w:tblGrid>
      <w:tr w:rsidR="00AC5309" w:rsidRPr="00500C4E" w:rsidTr="00920905">
        <w:trPr>
          <w:trHeight w:val="465"/>
        </w:trPr>
        <w:tc>
          <w:tcPr>
            <w:tcW w:w="1875" w:type="pct"/>
          </w:tcPr>
          <w:p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rsidR="00AC5309" w:rsidRPr="00500C4E" w:rsidRDefault="005B6A53">
            <w:pPr>
              <w:rPr>
                <w:rFonts w:cs="Arial"/>
                <w:bCs/>
                <w:color w:val="FF0000"/>
                <w:szCs w:val="20"/>
              </w:rPr>
            </w:pPr>
            <w:r w:rsidRPr="00322982">
              <w:rPr>
                <w:rFonts w:cs="Arial"/>
                <w:szCs w:val="20"/>
              </w:rPr>
              <w:t>464071</w:t>
            </w:r>
            <w:r w:rsidR="00AC5309" w:rsidRPr="00322982">
              <w:rPr>
                <w:rFonts w:cs="Arial"/>
                <w:szCs w:val="20"/>
              </w:rPr>
              <w:t xml:space="preserve"> </w:t>
            </w:r>
          </w:p>
        </w:tc>
      </w:tr>
      <w:tr w:rsidR="00AC5309" w:rsidRPr="00500C4E" w:rsidTr="00920905">
        <w:trPr>
          <w:trHeight w:val="465"/>
        </w:trPr>
        <w:tc>
          <w:tcPr>
            <w:tcW w:w="1875" w:type="pct"/>
          </w:tcPr>
          <w:p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tcPr>
          <w:p w:rsidR="00290ED8" w:rsidRPr="00500C4E" w:rsidRDefault="002B5005" w:rsidP="00777401">
            <w:pPr>
              <w:rPr>
                <w:rFonts w:cs="Arial"/>
                <w:color w:val="FF0000"/>
                <w:szCs w:val="20"/>
              </w:rPr>
            </w:pPr>
            <w:r w:rsidRPr="006F79B7">
              <w:rPr>
                <w:rFonts w:cstheme="minorHAnsi"/>
                <w:szCs w:val="20"/>
              </w:rPr>
              <w:t>Wi</w:t>
            </w:r>
            <w:r>
              <w:rPr>
                <w:rFonts w:cstheme="minorHAnsi"/>
                <w:szCs w:val="20"/>
              </w:rPr>
              <w:t>n</w:t>
            </w:r>
            <w:r w:rsidRPr="006F79B7">
              <w:rPr>
                <w:rFonts w:cstheme="minorHAnsi"/>
                <w:szCs w:val="20"/>
              </w:rPr>
              <w:t>dow U-0.3</w:t>
            </w:r>
            <w:r w:rsidR="00777401">
              <w:rPr>
                <w:rFonts w:cstheme="minorHAnsi"/>
                <w:szCs w:val="20"/>
              </w:rPr>
              <w:t>2</w:t>
            </w:r>
            <w:r w:rsidRPr="006F79B7">
              <w:rPr>
                <w:rFonts w:cstheme="minorHAnsi"/>
                <w:szCs w:val="20"/>
              </w:rPr>
              <w:t>/SHGC 0.2</w:t>
            </w:r>
            <w:r w:rsidR="00777401">
              <w:rPr>
                <w:rFonts w:cstheme="minorHAnsi"/>
                <w:szCs w:val="20"/>
              </w:rPr>
              <w:t>3</w:t>
            </w:r>
          </w:p>
        </w:tc>
      </w:tr>
      <w:tr w:rsidR="00AC5309" w:rsidRPr="00500C4E" w:rsidTr="00920905">
        <w:trPr>
          <w:trHeight w:val="465"/>
        </w:trPr>
        <w:tc>
          <w:tcPr>
            <w:tcW w:w="1875" w:type="pct"/>
          </w:tcPr>
          <w:p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rsidR="00290ED8" w:rsidRPr="00500C4E" w:rsidRDefault="002B5005" w:rsidP="00ED57E7">
            <w:pPr>
              <w:rPr>
                <w:rFonts w:cs="Arial"/>
                <w:color w:val="FF0000"/>
                <w:szCs w:val="20"/>
              </w:rPr>
            </w:pPr>
            <w:r w:rsidRPr="006F79B7">
              <w:rPr>
                <w:rFonts w:cstheme="minorHAnsi"/>
                <w:szCs w:val="20"/>
              </w:rPr>
              <w:t>Standard Wi</w:t>
            </w:r>
            <w:r>
              <w:rPr>
                <w:rFonts w:cstheme="minorHAnsi"/>
                <w:szCs w:val="20"/>
              </w:rPr>
              <w:t>n</w:t>
            </w:r>
            <w:r w:rsidRPr="006F79B7">
              <w:rPr>
                <w:rFonts w:cstheme="minorHAnsi"/>
                <w:szCs w:val="20"/>
              </w:rPr>
              <w:t>dow U-0.</w:t>
            </w:r>
            <w:r w:rsidR="00ED57E7">
              <w:rPr>
                <w:rFonts w:cstheme="minorHAnsi"/>
                <w:szCs w:val="20"/>
              </w:rPr>
              <w:t>55</w:t>
            </w:r>
            <w:r w:rsidRPr="006F79B7">
              <w:rPr>
                <w:rFonts w:cstheme="minorHAnsi"/>
                <w:szCs w:val="20"/>
              </w:rPr>
              <w:t>/</w:t>
            </w:r>
            <w:r>
              <w:rPr>
                <w:rFonts w:cstheme="minorHAnsi"/>
                <w:szCs w:val="20"/>
              </w:rPr>
              <w:t>SHGC 0.</w:t>
            </w:r>
            <w:r w:rsidR="00ED57E7">
              <w:rPr>
                <w:rFonts w:cstheme="minorHAnsi"/>
                <w:szCs w:val="20"/>
              </w:rPr>
              <w:t>65</w:t>
            </w:r>
          </w:p>
        </w:tc>
      </w:tr>
      <w:tr w:rsidR="002B5005" w:rsidRPr="00500C4E" w:rsidTr="00920905">
        <w:trPr>
          <w:trHeight w:val="465"/>
        </w:trPr>
        <w:tc>
          <w:tcPr>
            <w:tcW w:w="1875" w:type="pct"/>
          </w:tcPr>
          <w:p w:rsidR="002B5005" w:rsidRPr="00500C4E" w:rsidRDefault="002B5005">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rsidR="002B5005" w:rsidRPr="003D7D1C" w:rsidRDefault="002B5005" w:rsidP="00DA5D77">
            <w:pPr>
              <w:rPr>
                <w:rFonts w:cs="Arial"/>
                <w:szCs w:val="20"/>
              </w:rPr>
            </w:pPr>
            <w:r w:rsidRPr="003D7D1C">
              <w:rPr>
                <w:rFonts w:cs="Arial"/>
                <w:szCs w:val="20"/>
              </w:rPr>
              <w:t>Sq. ft.</w:t>
            </w:r>
          </w:p>
        </w:tc>
      </w:tr>
      <w:tr w:rsidR="002B5005" w:rsidRPr="00500C4E" w:rsidTr="00920905">
        <w:trPr>
          <w:trHeight w:val="465"/>
        </w:trPr>
        <w:tc>
          <w:tcPr>
            <w:tcW w:w="1875" w:type="pct"/>
          </w:tcPr>
          <w:p w:rsidR="002B5005" w:rsidRPr="00920905" w:rsidRDefault="002B5005">
            <w:pPr>
              <w:rPr>
                <w:rStyle w:val="Strong1"/>
                <w:szCs w:val="20"/>
              </w:rPr>
            </w:pPr>
            <w:r w:rsidRPr="00500C4E">
              <w:rPr>
                <w:rStyle w:val="Strong"/>
                <w:rFonts w:asciiTheme="minorHAnsi" w:hAnsiTheme="minorHAnsi"/>
                <w:sz w:val="20"/>
                <w:szCs w:val="20"/>
              </w:rPr>
              <w:t>Energy Savings</w:t>
            </w:r>
          </w:p>
        </w:tc>
        <w:tc>
          <w:tcPr>
            <w:tcW w:w="3125" w:type="pct"/>
          </w:tcPr>
          <w:p w:rsidR="002B5005" w:rsidRPr="003D7D1C" w:rsidRDefault="002B5005" w:rsidP="00DA5D77">
            <w:pPr>
              <w:rPr>
                <w:rFonts w:cs="Arial"/>
                <w:szCs w:val="20"/>
              </w:rPr>
            </w:pPr>
            <w:r w:rsidRPr="003D7D1C">
              <w:rPr>
                <w:rFonts w:cs="Arial"/>
                <w:szCs w:val="20"/>
              </w:rPr>
              <w:t>Refer to Excel Calculation Attachment</w:t>
            </w:r>
          </w:p>
        </w:tc>
      </w:tr>
      <w:tr w:rsidR="002B5005" w:rsidRPr="00500C4E" w:rsidTr="00920905">
        <w:trPr>
          <w:trHeight w:val="465"/>
        </w:trPr>
        <w:tc>
          <w:tcPr>
            <w:tcW w:w="1875" w:type="pct"/>
          </w:tcPr>
          <w:p w:rsidR="002B5005" w:rsidRPr="00500C4E" w:rsidRDefault="002B5005">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Measure Cost ($/unit)</w:t>
            </w:r>
          </w:p>
        </w:tc>
        <w:tc>
          <w:tcPr>
            <w:tcW w:w="3125" w:type="pct"/>
          </w:tcPr>
          <w:p w:rsidR="002B5005" w:rsidRPr="003D7D1C" w:rsidRDefault="00714A8B" w:rsidP="00DA5D77">
            <w:pPr>
              <w:rPr>
                <w:rFonts w:cs="Arial"/>
                <w:szCs w:val="20"/>
              </w:rPr>
            </w:pPr>
            <w:r w:rsidRPr="00714A8B">
              <w:rPr>
                <w:rFonts w:cs="Arial"/>
                <w:szCs w:val="20"/>
              </w:rPr>
              <w:t>$38.80</w:t>
            </w:r>
            <w:r>
              <w:rPr>
                <w:rFonts w:cs="Arial"/>
                <w:szCs w:val="20"/>
              </w:rPr>
              <w:t>/sq.ft.</w:t>
            </w:r>
          </w:p>
        </w:tc>
      </w:tr>
      <w:tr w:rsidR="002B5005" w:rsidRPr="00500C4E" w:rsidTr="00920905">
        <w:trPr>
          <w:trHeight w:val="465"/>
        </w:trPr>
        <w:tc>
          <w:tcPr>
            <w:tcW w:w="1875" w:type="pct"/>
          </w:tcPr>
          <w:p w:rsidR="002B5005" w:rsidRPr="00500C4E" w:rsidRDefault="002B5005">
            <w:pPr>
              <w:rPr>
                <w:rStyle w:val="Strong"/>
                <w:rFonts w:asciiTheme="minorHAnsi" w:hAnsiTheme="minorHAnsi"/>
                <w:sz w:val="20"/>
                <w:szCs w:val="20"/>
              </w:rPr>
            </w:pPr>
            <w:r w:rsidRPr="00500C4E">
              <w:rPr>
                <w:rStyle w:val="Strong"/>
                <w:rFonts w:asciiTheme="minorHAnsi" w:hAnsiTheme="minorHAnsi"/>
                <w:sz w:val="20"/>
                <w:szCs w:val="20"/>
              </w:rPr>
              <w:t>Incremental Measure Cost ($/unit)</w:t>
            </w:r>
          </w:p>
        </w:tc>
        <w:tc>
          <w:tcPr>
            <w:tcW w:w="3125" w:type="pct"/>
          </w:tcPr>
          <w:p w:rsidR="002B5005" w:rsidRPr="003D7D1C" w:rsidRDefault="00714A8B" w:rsidP="00DA5D77">
            <w:pPr>
              <w:rPr>
                <w:rFonts w:cs="Arial"/>
                <w:szCs w:val="20"/>
              </w:rPr>
            </w:pPr>
            <w:r>
              <w:rPr>
                <w:rFonts w:cs="Arial"/>
                <w:szCs w:val="20"/>
              </w:rPr>
              <w:t>$13.59/sq.ft.</w:t>
            </w:r>
          </w:p>
        </w:tc>
      </w:tr>
      <w:tr w:rsidR="002B5005" w:rsidRPr="00500C4E" w:rsidTr="00920905">
        <w:trPr>
          <w:trHeight w:val="465"/>
        </w:trPr>
        <w:tc>
          <w:tcPr>
            <w:tcW w:w="1875" w:type="pct"/>
          </w:tcPr>
          <w:p w:rsidR="002B5005" w:rsidRPr="00500C4E" w:rsidRDefault="002B5005">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rsidR="002B5005" w:rsidRPr="003D7D1C" w:rsidRDefault="002B5005" w:rsidP="00DA5D77">
            <w:pPr>
              <w:rPr>
                <w:rFonts w:cs="Arial"/>
                <w:szCs w:val="20"/>
              </w:rPr>
            </w:pPr>
            <w:r w:rsidRPr="003D7D1C">
              <w:rPr>
                <w:szCs w:val="20"/>
              </w:rPr>
              <w:t>BS-Win: EUL 20 yrs, RUL 6.7 yrs</w:t>
            </w:r>
          </w:p>
        </w:tc>
      </w:tr>
      <w:tr w:rsidR="002B5005" w:rsidRPr="00500C4E" w:rsidTr="00920905">
        <w:trPr>
          <w:trHeight w:val="465"/>
        </w:trPr>
        <w:tc>
          <w:tcPr>
            <w:tcW w:w="1875" w:type="pct"/>
          </w:tcPr>
          <w:p w:rsidR="002B5005" w:rsidRPr="00500C4E" w:rsidRDefault="002B5005">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3125" w:type="pct"/>
          </w:tcPr>
          <w:p w:rsidR="002B5005" w:rsidRPr="003D7D1C" w:rsidRDefault="002B5005" w:rsidP="00DA5D77">
            <w:pPr>
              <w:rPr>
                <w:rFonts w:cs="Arial"/>
                <w:szCs w:val="20"/>
              </w:rPr>
            </w:pPr>
            <w:r w:rsidRPr="003D7D1C">
              <w:rPr>
                <w:szCs w:val="20"/>
              </w:rPr>
              <w:t>Retrofit or Early Retirement (RET/ER)</w:t>
            </w:r>
          </w:p>
        </w:tc>
      </w:tr>
      <w:tr w:rsidR="00290ED8" w:rsidRPr="00500C4E" w:rsidTr="00920905">
        <w:trPr>
          <w:trHeight w:val="465"/>
        </w:trPr>
        <w:tc>
          <w:tcPr>
            <w:tcW w:w="1875" w:type="pct"/>
          </w:tcPr>
          <w:p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rsidR="00290ED8" w:rsidRPr="00500C4E" w:rsidRDefault="002B5005">
            <w:pPr>
              <w:rPr>
                <w:rFonts w:cs="Arial"/>
                <w:color w:val="FF0000"/>
                <w:szCs w:val="20"/>
              </w:rPr>
            </w:pPr>
            <w:r w:rsidRPr="00B00FC0">
              <w:rPr>
                <w:szCs w:val="20"/>
              </w:rPr>
              <w:t>Res-Default&gt;2</w:t>
            </w:r>
            <w:r>
              <w:rPr>
                <w:szCs w:val="20"/>
              </w:rPr>
              <w:t>: 0.55</w:t>
            </w:r>
          </w:p>
        </w:tc>
      </w:tr>
      <w:tr w:rsidR="00290ED8" w:rsidRPr="00500C4E" w:rsidTr="00920905">
        <w:trPr>
          <w:trHeight w:val="465"/>
        </w:trPr>
        <w:tc>
          <w:tcPr>
            <w:tcW w:w="1875" w:type="pct"/>
          </w:tcPr>
          <w:p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rsidR="00AC5309" w:rsidRPr="00500C4E" w:rsidRDefault="00AC5309">
      <w:pPr>
        <w:spacing w:after="200" w:line="276" w:lineRule="auto"/>
        <w:rPr>
          <w:rFonts w:cstheme="minorHAnsi"/>
          <w:b/>
          <w:bCs/>
          <w:smallCaps/>
          <w:kern w:val="32"/>
          <w:sz w:val="36"/>
          <w:szCs w:val="32"/>
        </w:rPr>
      </w:pPr>
    </w:p>
    <w:p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40"/>
        <w:gridCol w:w="979"/>
        <w:gridCol w:w="1425"/>
        <w:gridCol w:w="6632"/>
      </w:tblGrid>
      <w:tr w:rsidR="003845E5" w:rsidRPr="00500C4E" w:rsidTr="00322982">
        <w:trPr>
          <w:trHeight w:val="20"/>
        </w:trPr>
        <w:tc>
          <w:tcPr>
            <w:tcW w:w="282" w:type="pct"/>
            <w:shd w:val="clear" w:color="auto" w:fill="D9D9D9" w:themeFill="background1" w:themeFillShade="D9"/>
          </w:tcPr>
          <w:p w:rsidR="00933188" w:rsidRPr="00500C4E" w:rsidRDefault="003845E5" w:rsidP="003845E5">
            <w:pPr>
              <w:rPr>
                <w:rFonts w:cstheme="minorHAnsi"/>
                <w:b/>
                <w:bCs/>
                <w:szCs w:val="20"/>
              </w:rPr>
            </w:pPr>
            <w:r>
              <w:rPr>
                <w:rFonts w:cstheme="minorHAnsi"/>
                <w:b/>
                <w:szCs w:val="20"/>
              </w:rPr>
              <w:t>Rev</w:t>
            </w:r>
          </w:p>
        </w:tc>
        <w:tc>
          <w:tcPr>
            <w:tcW w:w="511" w:type="pct"/>
            <w:shd w:val="clear" w:color="auto" w:fill="D9D9D9" w:themeFill="background1" w:themeFillShade="D9"/>
          </w:tcPr>
          <w:p w:rsidR="00933188" w:rsidRPr="00500C4E" w:rsidRDefault="00933188" w:rsidP="005729C8">
            <w:pPr>
              <w:rPr>
                <w:rFonts w:cstheme="minorHAnsi"/>
                <w:b/>
                <w:bCs/>
                <w:szCs w:val="20"/>
              </w:rPr>
            </w:pPr>
            <w:r w:rsidRPr="00920905">
              <w:rPr>
                <w:rFonts w:cstheme="minorHAnsi"/>
                <w:b/>
                <w:szCs w:val="20"/>
              </w:rPr>
              <w:t>Date</w:t>
            </w:r>
          </w:p>
        </w:tc>
        <w:tc>
          <w:tcPr>
            <w:tcW w:w="744" w:type="pct"/>
            <w:shd w:val="clear" w:color="auto" w:fill="D9D9D9" w:themeFill="background1" w:themeFillShade="D9"/>
          </w:tcPr>
          <w:p w:rsidR="00933188" w:rsidRPr="00500C4E" w:rsidRDefault="003845E5" w:rsidP="003845E5">
            <w:pPr>
              <w:rPr>
                <w:rFonts w:cstheme="minorHAnsi"/>
                <w:b/>
                <w:bCs/>
                <w:szCs w:val="20"/>
              </w:rPr>
            </w:pPr>
            <w:r>
              <w:rPr>
                <w:rFonts w:cstheme="minorHAnsi"/>
                <w:b/>
                <w:szCs w:val="20"/>
              </w:rPr>
              <w:t>Author</w:t>
            </w:r>
          </w:p>
        </w:tc>
        <w:tc>
          <w:tcPr>
            <w:tcW w:w="3463" w:type="pct"/>
            <w:shd w:val="clear" w:color="auto" w:fill="D9D9D9" w:themeFill="background1" w:themeFillShade="D9"/>
          </w:tcPr>
          <w:p w:rsidR="00933188" w:rsidRPr="00500C4E" w:rsidRDefault="00933188" w:rsidP="005729C8">
            <w:pPr>
              <w:rPr>
                <w:rFonts w:cstheme="minorHAnsi"/>
                <w:b/>
                <w:bCs/>
                <w:szCs w:val="20"/>
              </w:rPr>
            </w:pPr>
            <w:r w:rsidRPr="00920905">
              <w:rPr>
                <w:rFonts w:cstheme="minorHAnsi"/>
                <w:b/>
                <w:szCs w:val="20"/>
              </w:rPr>
              <w:t>Summary of Changes</w:t>
            </w:r>
          </w:p>
        </w:tc>
      </w:tr>
      <w:tr w:rsidR="003845E5" w:rsidRPr="00500C4E" w:rsidTr="00322982">
        <w:trPr>
          <w:trHeight w:val="20"/>
        </w:trPr>
        <w:tc>
          <w:tcPr>
            <w:tcW w:w="282" w:type="pct"/>
          </w:tcPr>
          <w:p w:rsidR="00933188" w:rsidRPr="00777401" w:rsidRDefault="00933188" w:rsidP="005729C8">
            <w:pPr>
              <w:rPr>
                <w:rFonts w:cstheme="minorHAnsi"/>
                <w:szCs w:val="20"/>
              </w:rPr>
            </w:pPr>
            <w:r w:rsidRPr="00777401">
              <w:rPr>
                <w:rFonts w:cstheme="minorHAnsi"/>
                <w:szCs w:val="20"/>
              </w:rPr>
              <w:t>0</w:t>
            </w:r>
          </w:p>
        </w:tc>
        <w:tc>
          <w:tcPr>
            <w:tcW w:w="511" w:type="pct"/>
          </w:tcPr>
          <w:p w:rsidR="00933188" w:rsidRPr="00777401" w:rsidRDefault="00322982" w:rsidP="00ED57E7">
            <w:pPr>
              <w:rPr>
                <w:rFonts w:cstheme="minorHAnsi"/>
                <w:szCs w:val="20"/>
              </w:rPr>
            </w:pPr>
            <w:r>
              <w:rPr>
                <w:rFonts w:cstheme="minorHAnsi"/>
                <w:szCs w:val="20"/>
              </w:rPr>
              <w:t>11/13</w:t>
            </w:r>
            <w:r w:rsidR="00777401">
              <w:rPr>
                <w:rFonts w:cstheme="minorHAnsi"/>
                <w:szCs w:val="20"/>
              </w:rPr>
              <w:t>/17</w:t>
            </w:r>
          </w:p>
        </w:tc>
        <w:tc>
          <w:tcPr>
            <w:tcW w:w="744" w:type="pct"/>
          </w:tcPr>
          <w:p w:rsidR="00933188" w:rsidRPr="00777401" w:rsidRDefault="00777401" w:rsidP="001B2301">
            <w:pPr>
              <w:rPr>
                <w:rFonts w:cstheme="minorHAnsi"/>
                <w:szCs w:val="20"/>
              </w:rPr>
            </w:pPr>
            <w:r>
              <w:rPr>
                <w:rFonts w:cstheme="minorHAnsi"/>
                <w:szCs w:val="20"/>
              </w:rPr>
              <w:t>Phillip Hasley, Hasley Consulting</w:t>
            </w:r>
          </w:p>
        </w:tc>
        <w:tc>
          <w:tcPr>
            <w:tcW w:w="3463" w:type="pct"/>
          </w:tcPr>
          <w:p w:rsidR="0036726C" w:rsidRDefault="00777401" w:rsidP="00777401">
            <w:r>
              <w:t xml:space="preserve">Adopted </w:t>
            </w:r>
            <w:r w:rsidRPr="00777401">
              <w:t>Work Paper SCE13HC051</w:t>
            </w:r>
            <w:r>
              <w:t>.</w:t>
            </w:r>
          </w:p>
          <w:p w:rsidR="00777401" w:rsidRDefault="00777401" w:rsidP="00777401">
            <w:pPr>
              <w:pStyle w:val="ListParagraph"/>
              <w:numPr>
                <w:ilvl w:val="0"/>
                <w:numId w:val="35"/>
              </w:numPr>
            </w:pPr>
            <w:r>
              <w:t>Updated workpaper to include DMO building type</w:t>
            </w:r>
            <w:r w:rsidR="008C6EC8">
              <w:t xml:space="preserve"> and remove SFM and MFM building types</w:t>
            </w:r>
          </w:p>
          <w:p w:rsidR="00777401" w:rsidRDefault="00777401" w:rsidP="00777401">
            <w:pPr>
              <w:pStyle w:val="ListParagraph"/>
              <w:numPr>
                <w:ilvl w:val="0"/>
                <w:numId w:val="35"/>
              </w:numPr>
            </w:pPr>
            <w:r>
              <w:t xml:space="preserve">Updated measure case to </w:t>
            </w:r>
            <w:r w:rsidR="00DC0AA6">
              <w:t xml:space="preserve">new window with </w:t>
            </w:r>
            <w:r w:rsidRPr="00777401">
              <w:t>U-</w:t>
            </w:r>
            <w:r w:rsidR="00DC0AA6">
              <w:t xml:space="preserve">factor of </w:t>
            </w:r>
            <w:r w:rsidRPr="00777401">
              <w:t>0.3</w:t>
            </w:r>
            <w:r>
              <w:t>2</w:t>
            </w:r>
            <w:r w:rsidR="00DC0AA6">
              <w:t xml:space="preserve"> &amp; </w:t>
            </w:r>
            <w:r w:rsidRPr="00777401">
              <w:t>SHGC 0.2</w:t>
            </w:r>
            <w:r>
              <w:t>3</w:t>
            </w:r>
          </w:p>
          <w:p w:rsidR="00777401" w:rsidRDefault="00ED57E7" w:rsidP="008C6EC8">
            <w:pPr>
              <w:pStyle w:val="ListParagraph"/>
              <w:numPr>
                <w:ilvl w:val="0"/>
                <w:numId w:val="35"/>
              </w:numPr>
            </w:pPr>
            <w:r>
              <w:t xml:space="preserve">Updated base case to U-factor 0.55 and SHGC 0.65 </w:t>
            </w:r>
            <w:r w:rsidR="00DC0AA6">
              <w:t>based on Federal Codes</w:t>
            </w:r>
            <w:r w:rsidR="008C6EC8">
              <w:t xml:space="preserve"> for manufactured homes</w:t>
            </w:r>
          </w:p>
          <w:p w:rsidR="002D5592" w:rsidRPr="00777401" w:rsidRDefault="002D5592" w:rsidP="002D5592">
            <w:pPr>
              <w:pStyle w:val="ListParagraph"/>
              <w:numPr>
                <w:ilvl w:val="0"/>
                <w:numId w:val="35"/>
              </w:numPr>
            </w:pPr>
            <w:r>
              <w:t>Updated GMC and IMC based on CMHP cost data</w:t>
            </w:r>
          </w:p>
        </w:tc>
      </w:tr>
    </w:tbl>
    <w:p w:rsidR="00DA2822" w:rsidRDefault="00DA2822" w:rsidP="00BA5FE4">
      <w:pPr>
        <w:spacing w:line="276" w:lineRule="auto"/>
        <w:rPr>
          <w:rFonts w:cs="Arial"/>
          <w:b/>
          <w:bCs/>
          <w:smallCaps/>
          <w:kern w:val="32"/>
          <w:sz w:val="36"/>
          <w:szCs w:val="20"/>
        </w:rPr>
      </w:pPr>
      <w:r>
        <w:rPr>
          <w:szCs w:val="20"/>
        </w:rPr>
        <w:br w:type="page"/>
      </w:r>
    </w:p>
    <w:p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rsidR="00E16609" w:rsidRPr="00500C4E" w:rsidRDefault="00824F1C" w:rsidP="00697868">
      <w:pPr>
        <w:pStyle w:val="Heading2"/>
        <w:rPr>
          <w:rFonts w:asciiTheme="minorHAnsi" w:hAnsiTheme="minorHAnsi"/>
        </w:rPr>
      </w:pPr>
      <w:bookmarkStart w:id="8"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8"/>
    </w:p>
    <w:p w:rsidR="002B5005" w:rsidRDefault="002B5005" w:rsidP="002B5005">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This work paper details energy savings </w:t>
      </w:r>
      <w:r w:rsidR="002D5592">
        <w:rPr>
          <w:rFonts w:asciiTheme="minorHAnsi" w:hAnsiTheme="minorHAnsi" w:cstheme="minorHAnsi"/>
          <w:i w:val="0"/>
          <w:color w:val="auto"/>
          <w:szCs w:val="22"/>
        </w:rPr>
        <w:t>for the</w:t>
      </w:r>
      <w:r>
        <w:rPr>
          <w:rFonts w:asciiTheme="minorHAnsi" w:hAnsiTheme="minorHAnsi" w:cstheme="minorHAnsi"/>
          <w:i w:val="0"/>
          <w:color w:val="auto"/>
          <w:szCs w:val="22"/>
        </w:rPr>
        <w:t xml:space="preserve"> energy efficiency measure consisting of retrofitting </w:t>
      </w:r>
      <w:r w:rsidR="00777401">
        <w:rPr>
          <w:rFonts w:asciiTheme="minorHAnsi" w:hAnsiTheme="minorHAnsi" w:cstheme="minorHAnsi"/>
          <w:i w:val="0"/>
          <w:color w:val="auto"/>
          <w:szCs w:val="22"/>
        </w:rPr>
        <w:t xml:space="preserve">existing manufactured home </w:t>
      </w:r>
      <w:r>
        <w:rPr>
          <w:rFonts w:asciiTheme="minorHAnsi" w:hAnsiTheme="minorHAnsi" w:cstheme="minorHAnsi"/>
          <w:i w:val="0"/>
          <w:color w:val="auto"/>
          <w:szCs w:val="22"/>
        </w:rPr>
        <w:t>window assembl</w:t>
      </w:r>
      <w:r w:rsidR="00777401">
        <w:rPr>
          <w:rFonts w:asciiTheme="minorHAnsi" w:hAnsiTheme="minorHAnsi" w:cstheme="minorHAnsi"/>
          <w:i w:val="0"/>
          <w:color w:val="auto"/>
          <w:szCs w:val="22"/>
        </w:rPr>
        <w:t>ies</w:t>
      </w:r>
      <w:r>
        <w:rPr>
          <w:rFonts w:asciiTheme="minorHAnsi" w:hAnsiTheme="minorHAnsi" w:cstheme="minorHAnsi"/>
          <w:i w:val="0"/>
          <w:color w:val="auto"/>
          <w:szCs w:val="22"/>
        </w:rPr>
        <w:t xml:space="preserve"> with high performance glass/window assembl</w:t>
      </w:r>
      <w:r w:rsidR="00DC0AA6">
        <w:rPr>
          <w:rFonts w:asciiTheme="minorHAnsi" w:hAnsiTheme="minorHAnsi" w:cstheme="minorHAnsi"/>
          <w:i w:val="0"/>
          <w:color w:val="auto"/>
          <w:szCs w:val="22"/>
        </w:rPr>
        <w:t>ies</w:t>
      </w:r>
      <w:r>
        <w:rPr>
          <w:rFonts w:asciiTheme="minorHAnsi" w:hAnsiTheme="minorHAnsi" w:cstheme="minorHAnsi"/>
          <w:i w:val="0"/>
          <w:color w:val="auto"/>
          <w:szCs w:val="22"/>
        </w:rPr>
        <w:t xml:space="preserve"> </w:t>
      </w:r>
      <w:r w:rsidR="00DC0AA6">
        <w:rPr>
          <w:rFonts w:asciiTheme="minorHAnsi" w:hAnsiTheme="minorHAnsi" w:cstheme="minorHAnsi"/>
          <w:i w:val="0"/>
          <w:color w:val="auto"/>
          <w:szCs w:val="22"/>
        </w:rPr>
        <w:t xml:space="preserve">having a rated </w:t>
      </w:r>
      <w:r w:rsidR="00DC0AA6" w:rsidRPr="00DC0AA6">
        <w:rPr>
          <w:rFonts w:asciiTheme="minorHAnsi" w:hAnsiTheme="minorHAnsi" w:cstheme="minorHAnsi"/>
          <w:i w:val="0"/>
          <w:color w:val="auto"/>
          <w:szCs w:val="22"/>
        </w:rPr>
        <w:t>U</w:t>
      </w:r>
      <w:r w:rsidR="00DC0AA6">
        <w:rPr>
          <w:rFonts w:asciiTheme="minorHAnsi" w:hAnsiTheme="minorHAnsi" w:cstheme="minorHAnsi"/>
          <w:i w:val="0"/>
          <w:color w:val="auto"/>
          <w:szCs w:val="22"/>
        </w:rPr>
        <w:t xml:space="preserve">-factor of </w:t>
      </w:r>
      <w:r w:rsidR="00DC0AA6" w:rsidRPr="00DC0AA6">
        <w:rPr>
          <w:rFonts w:asciiTheme="minorHAnsi" w:hAnsiTheme="minorHAnsi" w:cstheme="minorHAnsi"/>
          <w:i w:val="0"/>
          <w:color w:val="auto"/>
          <w:szCs w:val="22"/>
        </w:rPr>
        <w:t>0.32</w:t>
      </w:r>
      <w:r w:rsidR="00DC0AA6">
        <w:rPr>
          <w:rFonts w:asciiTheme="minorHAnsi" w:hAnsiTheme="minorHAnsi" w:cstheme="minorHAnsi"/>
          <w:i w:val="0"/>
          <w:color w:val="auto"/>
          <w:szCs w:val="22"/>
        </w:rPr>
        <w:t xml:space="preserve"> and </w:t>
      </w:r>
      <w:r w:rsidR="00DC0AA6" w:rsidRPr="00DC0AA6">
        <w:rPr>
          <w:rFonts w:asciiTheme="minorHAnsi" w:hAnsiTheme="minorHAnsi" w:cstheme="minorHAnsi"/>
          <w:i w:val="0"/>
          <w:color w:val="auto"/>
          <w:szCs w:val="22"/>
        </w:rPr>
        <w:t>SHGC 0.23</w:t>
      </w:r>
      <w:r w:rsidR="00DC0AA6">
        <w:rPr>
          <w:rFonts w:asciiTheme="minorHAnsi" w:hAnsiTheme="minorHAnsi" w:cstheme="minorHAnsi"/>
          <w:i w:val="0"/>
          <w:color w:val="auto"/>
          <w:szCs w:val="22"/>
        </w:rPr>
        <w:t xml:space="preserve"> or better</w:t>
      </w:r>
      <w:r>
        <w:rPr>
          <w:rFonts w:asciiTheme="minorHAnsi" w:hAnsiTheme="minorHAnsi" w:cstheme="minorHAnsi"/>
          <w:i w:val="0"/>
          <w:color w:val="auto"/>
          <w:szCs w:val="22"/>
        </w:rPr>
        <w:t>.</w:t>
      </w:r>
    </w:p>
    <w:p w:rsidR="002B5005" w:rsidRDefault="002B5005" w:rsidP="002B5005">
      <w:pPr>
        <w:pStyle w:val="Reminders"/>
        <w:tabs>
          <w:tab w:val="num" w:pos="360"/>
        </w:tabs>
        <w:rPr>
          <w:rFonts w:asciiTheme="minorHAnsi" w:hAnsiTheme="minorHAnsi" w:cstheme="minorHAnsi"/>
          <w:i w:val="0"/>
          <w:szCs w:val="22"/>
        </w:rPr>
      </w:pPr>
    </w:p>
    <w:p w:rsidR="002B5005" w:rsidRDefault="002B5005" w:rsidP="002B5005">
      <w:pPr>
        <w:pStyle w:val="Calibri11"/>
        <w:spacing w:before="0" w:after="0"/>
        <w:rPr>
          <w:rFonts w:asciiTheme="minorHAnsi" w:hAnsiTheme="minorHAnsi"/>
          <w:b/>
          <w:color w:val="auto"/>
          <w:sz w:val="22"/>
          <w:szCs w:val="22"/>
        </w:rPr>
      </w:pPr>
      <w:r>
        <w:rPr>
          <w:rFonts w:asciiTheme="minorHAnsi" w:hAnsiTheme="minorHAnsi"/>
          <w:b/>
          <w:color w:val="auto"/>
          <w:sz w:val="22"/>
          <w:szCs w:val="22"/>
        </w:rPr>
        <w:t>Base Case</w:t>
      </w:r>
    </w:p>
    <w:p w:rsidR="002B5005" w:rsidRDefault="002B5005" w:rsidP="002B5005">
      <w:pPr>
        <w:pStyle w:val="Calibri11"/>
        <w:spacing w:before="0" w:after="0"/>
        <w:rPr>
          <w:rFonts w:asciiTheme="minorHAnsi" w:hAnsiTheme="minorHAnsi"/>
          <w:color w:val="auto"/>
          <w:sz w:val="22"/>
          <w:szCs w:val="22"/>
        </w:rPr>
      </w:pPr>
      <w:r>
        <w:rPr>
          <w:rFonts w:asciiTheme="minorHAnsi" w:hAnsiTheme="minorHAnsi"/>
          <w:color w:val="auto"/>
          <w:sz w:val="22"/>
          <w:szCs w:val="22"/>
        </w:rPr>
        <w:t xml:space="preserve">The base case </w:t>
      </w:r>
      <w:r w:rsidR="00ED57E7">
        <w:rPr>
          <w:rFonts w:asciiTheme="minorHAnsi" w:hAnsiTheme="minorHAnsi"/>
          <w:color w:val="auto"/>
          <w:sz w:val="22"/>
          <w:szCs w:val="22"/>
        </w:rPr>
        <w:t>is</w:t>
      </w:r>
      <w:r w:rsidR="00FF0FEF">
        <w:rPr>
          <w:rFonts w:asciiTheme="minorHAnsi" w:hAnsiTheme="minorHAnsi"/>
          <w:color w:val="auto"/>
          <w:sz w:val="22"/>
          <w:szCs w:val="22"/>
        </w:rPr>
        <w:t xml:space="preserve"> </w:t>
      </w:r>
      <w:r>
        <w:rPr>
          <w:rFonts w:asciiTheme="minorHAnsi" w:hAnsiTheme="minorHAnsi"/>
          <w:color w:val="auto"/>
          <w:sz w:val="22"/>
          <w:szCs w:val="22"/>
        </w:rPr>
        <w:t xml:space="preserve">a </w:t>
      </w:r>
      <w:r w:rsidR="00ED57E7">
        <w:rPr>
          <w:rFonts w:asciiTheme="minorHAnsi" w:hAnsiTheme="minorHAnsi"/>
          <w:color w:val="auto"/>
          <w:sz w:val="22"/>
          <w:szCs w:val="22"/>
        </w:rPr>
        <w:t>d</w:t>
      </w:r>
      <w:r w:rsidR="00ED57E7" w:rsidRPr="00ED57E7">
        <w:rPr>
          <w:rFonts w:asciiTheme="minorHAnsi" w:hAnsiTheme="minorHAnsi"/>
          <w:color w:val="auto"/>
          <w:sz w:val="22"/>
          <w:szCs w:val="22"/>
        </w:rPr>
        <w:t>ouble</w:t>
      </w:r>
      <w:r w:rsidR="00ED57E7">
        <w:rPr>
          <w:rFonts w:asciiTheme="minorHAnsi" w:hAnsiTheme="minorHAnsi"/>
          <w:color w:val="auto"/>
          <w:sz w:val="22"/>
          <w:szCs w:val="22"/>
        </w:rPr>
        <w:t>-pane</w:t>
      </w:r>
      <w:r w:rsidR="00ED57E7" w:rsidRPr="00ED57E7">
        <w:rPr>
          <w:rFonts w:asciiTheme="minorHAnsi" w:hAnsiTheme="minorHAnsi"/>
          <w:color w:val="auto"/>
          <w:sz w:val="22"/>
          <w:szCs w:val="22"/>
        </w:rPr>
        <w:t xml:space="preserve"> </w:t>
      </w:r>
      <w:r w:rsidR="00ED57E7">
        <w:rPr>
          <w:rFonts w:asciiTheme="minorHAnsi" w:hAnsiTheme="minorHAnsi"/>
          <w:color w:val="auto"/>
          <w:sz w:val="22"/>
          <w:szCs w:val="22"/>
        </w:rPr>
        <w:t>l</w:t>
      </w:r>
      <w:r w:rsidR="00ED57E7" w:rsidRPr="00ED57E7">
        <w:rPr>
          <w:rFonts w:asciiTheme="minorHAnsi" w:hAnsiTheme="minorHAnsi"/>
          <w:color w:val="auto"/>
          <w:sz w:val="22"/>
          <w:szCs w:val="22"/>
        </w:rPr>
        <w:t xml:space="preserve">ow-E (e3=.2) </w:t>
      </w:r>
      <w:r>
        <w:rPr>
          <w:rFonts w:asciiTheme="minorHAnsi" w:hAnsiTheme="minorHAnsi"/>
          <w:color w:val="auto"/>
          <w:sz w:val="22"/>
          <w:szCs w:val="22"/>
        </w:rPr>
        <w:t>clear window with typical glass/window assembly U-factor of 0.</w:t>
      </w:r>
      <w:r w:rsidR="00ED57E7">
        <w:rPr>
          <w:rFonts w:asciiTheme="minorHAnsi" w:hAnsiTheme="minorHAnsi"/>
          <w:color w:val="auto"/>
          <w:sz w:val="22"/>
          <w:szCs w:val="22"/>
        </w:rPr>
        <w:t>55</w:t>
      </w:r>
      <w:r>
        <w:rPr>
          <w:rFonts w:asciiTheme="minorHAnsi" w:hAnsiTheme="minorHAnsi"/>
          <w:color w:val="auto"/>
          <w:sz w:val="22"/>
          <w:szCs w:val="22"/>
        </w:rPr>
        <w:t xml:space="preserve"> and Solar Heat Gain Coefficient (SHGC) of 0.</w:t>
      </w:r>
      <w:r w:rsidR="00ED57E7">
        <w:rPr>
          <w:rFonts w:asciiTheme="minorHAnsi" w:hAnsiTheme="minorHAnsi"/>
          <w:color w:val="auto"/>
          <w:sz w:val="22"/>
          <w:szCs w:val="22"/>
        </w:rPr>
        <w:t xml:space="preserve">65 that meets </w:t>
      </w:r>
      <w:r w:rsidR="008C6EC8">
        <w:rPr>
          <w:rFonts w:asciiTheme="minorHAnsi" w:hAnsiTheme="minorHAnsi"/>
          <w:color w:val="auto"/>
          <w:sz w:val="22"/>
          <w:szCs w:val="22"/>
        </w:rPr>
        <w:t>fe</w:t>
      </w:r>
      <w:r w:rsidR="00ED57E7">
        <w:rPr>
          <w:rFonts w:asciiTheme="minorHAnsi" w:hAnsiTheme="minorHAnsi"/>
          <w:color w:val="auto"/>
          <w:sz w:val="22"/>
          <w:szCs w:val="22"/>
        </w:rPr>
        <w:t>d</w:t>
      </w:r>
      <w:r w:rsidR="008C6EC8">
        <w:rPr>
          <w:rFonts w:asciiTheme="minorHAnsi" w:hAnsiTheme="minorHAnsi"/>
          <w:color w:val="auto"/>
          <w:sz w:val="22"/>
          <w:szCs w:val="22"/>
        </w:rPr>
        <w:t>er</w:t>
      </w:r>
      <w:r w:rsidR="00ED57E7">
        <w:rPr>
          <w:rFonts w:asciiTheme="minorHAnsi" w:hAnsiTheme="minorHAnsi"/>
          <w:color w:val="auto"/>
          <w:sz w:val="22"/>
          <w:szCs w:val="22"/>
        </w:rPr>
        <w:t>al code requirements for manufactured homes</w:t>
      </w:r>
      <w:r w:rsidR="002D5592">
        <w:rPr>
          <w:rFonts w:asciiTheme="minorHAnsi" w:hAnsiTheme="minorHAnsi"/>
          <w:color w:val="auto"/>
          <w:sz w:val="22"/>
          <w:szCs w:val="22"/>
        </w:rPr>
        <w:t xml:space="preserve"> as determined by the DEER team in the DOE-2 prototype double-wide mobile home</w:t>
      </w:r>
      <w:r>
        <w:rPr>
          <w:rFonts w:asciiTheme="minorHAnsi" w:hAnsiTheme="minorHAnsi"/>
          <w:color w:val="auto"/>
          <w:sz w:val="22"/>
          <w:szCs w:val="22"/>
        </w:rPr>
        <w:t>.</w:t>
      </w:r>
    </w:p>
    <w:p w:rsidR="00A7062E" w:rsidRDefault="00A7062E" w:rsidP="002B5005">
      <w:pPr>
        <w:pStyle w:val="Calibri11"/>
        <w:spacing w:before="0" w:after="0"/>
        <w:rPr>
          <w:rFonts w:asciiTheme="minorHAnsi" w:hAnsiTheme="minorHAnsi"/>
          <w:color w:val="auto"/>
          <w:sz w:val="22"/>
          <w:szCs w:val="22"/>
        </w:rPr>
      </w:pPr>
    </w:p>
    <w:p w:rsidR="002B5005" w:rsidRDefault="002B5005" w:rsidP="002B5005">
      <w:pPr>
        <w:pStyle w:val="Reminders"/>
        <w:tabs>
          <w:tab w:val="num" w:pos="360"/>
        </w:tabs>
        <w:spacing w:before="0" w:after="0"/>
        <w:rPr>
          <w:rFonts w:asciiTheme="minorHAnsi" w:hAnsiTheme="minorHAnsi" w:cstheme="minorHAnsi"/>
          <w:b/>
          <w:i w:val="0"/>
          <w:color w:val="auto"/>
          <w:szCs w:val="22"/>
        </w:rPr>
      </w:pPr>
      <w:r>
        <w:rPr>
          <w:rFonts w:asciiTheme="minorHAnsi" w:hAnsiTheme="minorHAnsi" w:cstheme="minorHAnsi"/>
          <w:b/>
          <w:i w:val="0"/>
          <w:color w:val="auto"/>
          <w:szCs w:val="22"/>
        </w:rPr>
        <w:t>Measure Case</w:t>
      </w:r>
    </w:p>
    <w:p w:rsidR="002B5005" w:rsidRDefault="002B5005" w:rsidP="002B5005">
      <w:pPr>
        <w:pStyle w:val="Reminders"/>
        <w:tabs>
          <w:tab w:val="num" w:pos="360"/>
        </w:tabs>
        <w:spacing w:before="0" w:after="0"/>
        <w:rPr>
          <w:rFonts w:asciiTheme="minorHAnsi" w:hAnsiTheme="minorHAnsi" w:cstheme="minorHAnsi"/>
          <w:i w:val="0"/>
          <w:color w:val="auto"/>
          <w:szCs w:val="22"/>
        </w:rPr>
      </w:pPr>
      <w:r>
        <w:rPr>
          <w:rFonts w:asciiTheme="minorHAnsi" w:hAnsiTheme="minorHAnsi" w:cstheme="minorHAnsi"/>
          <w:i w:val="0"/>
          <w:color w:val="auto"/>
          <w:szCs w:val="22"/>
        </w:rPr>
        <w:t>The measure case is a high performance glass/window with maximum allowable U-factor of 0.32 and SHGC of 0.2</w:t>
      </w:r>
      <w:r w:rsidR="00ED57E7">
        <w:rPr>
          <w:rFonts w:asciiTheme="minorHAnsi" w:hAnsiTheme="minorHAnsi" w:cstheme="minorHAnsi"/>
          <w:i w:val="0"/>
          <w:color w:val="auto"/>
          <w:szCs w:val="22"/>
        </w:rPr>
        <w:t>3</w:t>
      </w:r>
      <w:r>
        <w:rPr>
          <w:rFonts w:asciiTheme="minorHAnsi" w:hAnsiTheme="minorHAnsi" w:cstheme="minorHAnsi"/>
          <w:i w:val="0"/>
          <w:color w:val="auto"/>
          <w:szCs w:val="22"/>
        </w:rPr>
        <w:t xml:space="preserve">.  The measure can be met by various alternatives - using a double and/or triple pane glass window with Low-E clear and/or tint and/or double electrochromic glass window.  Energy savings on the measure are estimated using a double pane Low-E window/glass assembly.  See Section 2 for additional performance documentation on Base case and Measure case windows. </w:t>
      </w:r>
    </w:p>
    <w:p w:rsidR="002B5005" w:rsidRDefault="002B5005" w:rsidP="002B5005">
      <w:pPr>
        <w:pStyle w:val="Reminders"/>
        <w:tabs>
          <w:tab w:val="num" w:pos="360"/>
        </w:tabs>
        <w:spacing w:before="0" w:after="0"/>
        <w:rPr>
          <w:rFonts w:asciiTheme="minorHAnsi" w:hAnsiTheme="minorHAnsi" w:cstheme="minorHAnsi"/>
          <w:i w:val="0"/>
          <w:color w:val="auto"/>
          <w:szCs w:val="22"/>
        </w:rPr>
      </w:pPr>
      <w:r>
        <w:rPr>
          <w:rFonts w:asciiTheme="minorHAnsi" w:hAnsiTheme="minorHAnsi" w:cstheme="minorHAnsi"/>
          <w:i w:val="0"/>
          <w:color w:val="auto"/>
          <w:szCs w:val="22"/>
        </w:rPr>
        <w:t xml:space="preserve">  </w:t>
      </w:r>
    </w:p>
    <w:p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77"/>
        <w:gridCol w:w="6699"/>
      </w:tblGrid>
      <w:tr w:rsidR="005720F2" w:rsidRPr="00800706" w:rsidTr="00920905">
        <w:trPr>
          <w:trHeight w:val="20"/>
        </w:trPr>
        <w:tc>
          <w:tcPr>
            <w:tcW w:w="1502" w:type="pct"/>
            <w:shd w:val="clear" w:color="auto" w:fill="D9D9D9" w:themeFill="background1" w:themeFillShade="D9"/>
          </w:tcPr>
          <w:p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2B5005" w:rsidRPr="00800706" w:rsidTr="00920905">
        <w:trPr>
          <w:trHeight w:val="20"/>
        </w:trPr>
        <w:tc>
          <w:tcPr>
            <w:tcW w:w="1502" w:type="pct"/>
          </w:tcPr>
          <w:p w:rsidR="002B5005" w:rsidRPr="00920905" w:rsidRDefault="002B5005"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rsidR="002B5005" w:rsidRPr="00920905" w:rsidRDefault="002B5005" w:rsidP="00ED57E7">
            <w:pPr>
              <w:rPr>
                <w:szCs w:val="20"/>
              </w:rPr>
            </w:pPr>
            <w:r w:rsidRPr="006F79B7">
              <w:rPr>
                <w:rFonts w:cstheme="minorHAnsi"/>
                <w:szCs w:val="20"/>
              </w:rPr>
              <w:t>Prescriptive Wi</w:t>
            </w:r>
            <w:r>
              <w:rPr>
                <w:rFonts w:cstheme="minorHAnsi"/>
                <w:szCs w:val="20"/>
              </w:rPr>
              <w:t>n</w:t>
            </w:r>
            <w:r w:rsidRPr="006F79B7">
              <w:rPr>
                <w:rFonts w:cstheme="minorHAnsi"/>
                <w:szCs w:val="20"/>
              </w:rPr>
              <w:t>dow U-0.32/SHGC 0.2</w:t>
            </w:r>
            <w:r w:rsidR="00ED57E7">
              <w:rPr>
                <w:rFonts w:cstheme="minorHAnsi"/>
                <w:szCs w:val="20"/>
              </w:rPr>
              <w:t>3</w:t>
            </w:r>
          </w:p>
        </w:tc>
      </w:tr>
      <w:tr w:rsidR="002B5005" w:rsidRPr="00800706" w:rsidTr="00920905">
        <w:trPr>
          <w:trHeight w:val="20"/>
        </w:trPr>
        <w:tc>
          <w:tcPr>
            <w:tcW w:w="1502" w:type="pct"/>
          </w:tcPr>
          <w:p w:rsidR="002B5005" w:rsidRPr="00920905" w:rsidRDefault="002B5005"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rsidR="002B5005" w:rsidRPr="00920905" w:rsidRDefault="002B5005" w:rsidP="00ED57E7">
            <w:pPr>
              <w:rPr>
                <w:i/>
                <w:szCs w:val="20"/>
              </w:rPr>
            </w:pPr>
            <w:r w:rsidRPr="006F79B7">
              <w:rPr>
                <w:rFonts w:cstheme="minorHAnsi"/>
                <w:szCs w:val="20"/>
              </w:rPr>
              <w:t>Standard Wi</w:t>
            </w:r>
            <w:r>
              <w:rPr>
                <w:rFonts w:cstheme="minorHAnsi"/>
                <w:szCs w:val="20"/>
              </w:rPr>
              <w:t>n</w:t>
            </w:r>
            <w:r w:rsidRPr="006F79B7">
              <w:rPr>
                <w:rFonts w:cstheme="minorHAnsi"/>
                <w:szCs w:val="20"/>
              </w:rPr>
              <w:t>dow U-0.</w:t>
            </w:r>
            <w:r w:rsidR="00ED57E7">
              <w:rPr>
                <w:rFonts w:cstheme="minorHAnsi"/>
                <w:szCs w:val="20"/>
              </w:rPr>
              <w:t>55</w:t>
            </w:r>
            <w:r w:rsidRPr="006F79B7">
              <w:rPr>
                <w:rFonts w:cstheme="minorHAnsi"/>
                <w:szCs w:val="20"/>
              </w:rPr>
              <w:t>/</w:t>
            </w:r>
            <w:r>
              <w:rPr>
                <w:rFonts w:cstheme="minorHAnsi"/>
                <w:szCs w:val="20"/>
              </w:rPr>
              <w:t>SHGC 0.</w:t>
            </w:r>
            <w:r w:rsidR="00ED57E7">
              <w:rPr>
                <w:rFonts w:cstheme="minorHAnsi"/>
                <w:szCs w:val="20"/>
              </w:rPr>
              <w:t>65</w:t>
            </w:r>
          </w:p>
        </w:tc>
      </w:tr>
      <w:tr w:rsidR="002B5005" w:rsidRPr="00800706" w:rsidTr="006F21E8">
        <w:trPr>
          <w:trHeight w:val="20"/>
        </w:trPr>
        <w:tc>
          <w:tcPr>
            <w:tcW w:w="1502" w:type="pct"/>
          </w:tcPr>
          <w:p w:rsidR="002B5005" w:rsidRPr="00800706" w:rsidRDefault="002B5005">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rsidR="002B5005" w:rsidRPr="0080189A" w:rsidRDefault="002D5592" w:rsidP="00DA5D77">
            <w:pPr>
              <w:rPr>
                <w:color w:val="FF0000"/>
                <w:szCs w:val="20"/>
              </w:rPr>
            </w:pPr>
            <w:r w:rsidRPr="006F79B7">
              <w:rPr>
                <w:rFonts w:cstheme="minorHAnsi"/>
                <w:szCs w:val="20"/>
              </w:rPr>
              <w:t>Standard Wi</w:t>
            </w:r>
            <w:r>
              <w:rPr>
                <w:rFonts w:cstheme="minorHAnsi"/>
                <w:szCs w:val="20"/>
              </w:rPr>
              <w:t>n</w:t>
            </w:r>
            <w:r w:rsidRPr="006F79B7">
              <w:rPr>
                <w:rFonts w:cstheme="minorHAnsi"/>
                <w:szCs w:val="20"/>
              </w:rPr>
              <w:t>dow U-0.</w:t>
            </w:r>
            <w:r>
              <w:rPr>
                <w:rFonts w:cstheme="minorHAnsi"/>
                <w:szCs w:val="20"/>
              </w:rPr>
              <w:t>55</w:t>
            </w:r>
            <w:r w:rsidRPr="006F79B7">
              <w:rPr>
                <w:rFonts w:cstheme="minorHAnsi"/>
                <w:szCs w:val="20"/>
              </w:rPr>
              <w:t>/</w:t>
            </w:r>
            <w:r>
              <w:rPr>
                <w:rFonts w:cstheme="minorHAnsi"/>
                <w:szCs w:val="20"/>
              </w:rPr>
              <w:t>SHGC 0.65</w:t>
            </w:r>
          </w:p>
        </w:tc>
      </w:tr>
      <w:tr w:rsidR="002B5005" w:rsidRPr="00800706" w:rsidTr="00920905">
        <w:trPr>
          <w:trHeight w:val="20"/>
        </w:trPr>
        <w:tc>
          <w:tcPr>
            <w:tcW w:w="1502" w:type="pct"/>
          </w:tcPr>
          <w:p w:rsidR="002B5005" w:rsidRPr="00920905" w:rsidRDefault="002B5005"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rsidR="002B5005" w:rsidRPr="00D722F0" w:rsidRDefault="002B5005" w:rsidP="00DA5D77">
            <w:pPr>
              <w:rPr>
                <w:i/>
                <w:szCs w:val="20"/>
              </w:rPr>
            </w:pPr>
            <w:r w:rsidRPr="00D722F0">
              <w:rPr>
                <w:szCs w:val="20"/>
              </w:rPr>
              <w:t>N/A</w:t>
            </w:r>
          </w:p>
        </w:tc>
      </w:tr>
    </w:tbl>
    <w:p w:rsidR="00D85F09" w:rsidRPr="00800706" w:rsidRDefault="00D85F09" w:rsidP="00920905">
      <w:pPr>
        <w:pStyle w:val="NoSpacing"/>
      </w:pPr>
    </w:p>
    <w:p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32"/>
        <w:gridCol w:w="1032"/>
        <w:gridCol w:w="1159"/>
        <w:gridCol w:w="1289"/>
        <w:gridCol w:w="5064"/>
      </w:tblGrid>
      <w:tr w:rsidR="003A3170" w:rsidRPr="00800706" w:rsidTr="00920905">
        <w:tc>
          <w:tcPr>
            <w:tcW w:w="2356" w:type="pct"/>
            <w:gridSpan w:val="4"/>
            <w:shd w:val="clear" w:color="auto" w:fill="D9D9D9" w:themeFill="background1" w:themeFillShade="D9"/>
          </w:tcPr>
          <w:p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rsidR="003A3170" w:rsidRPr="00920905" w:rsidRDefault="003A3170" w:rsidP="005729C8">
            <w:pPr>
              <w:rPr>
                <w:rFonts w:cstheme="minorHAnsi"/>
                <w:b/>
                <w:szCs w:val="20"/>
              </w:rPr>
            </w:pPr>
            <w:r w:rsidRPr="00920905">
              <w:rPr>
                <w:rFonts w:cstheme="minorHAnsi"/>
                <w:b/>
                <w:szCs w:val="20"/>
              </w:rPr>
              <w:t>Measure Name</w:t>
            </w:r>
          </w:p>
        </w:tc>
      </w:tr>
      <w:tr w:rsidR="003A3170" w:rsidRPr="00800706" w:rsidTr="00920905">
        <w:tc>
          <w:tcPr>
            <w:tcW w:w="539" w:type="pct"/>
            <w:shd w:val="clear" w:color="auto" w:fill="F2F2F2" w:themeFill="background1" w:themeFillShade="F2"/>
          </w:tcPr>
          <w:p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rsidR="003A3170" w:rsidRPr="00800706" w:rsidRDefault="003A3170" w:rsidP="00D835EF">
            <w:pPr>
              <w:rPr>
                <w:rFonts w:cstheme="minorHAnsi"/>
                <w:szCs w:val="20"/>
              </w:rPr>
            </w:pPr>
            <w:r w:rsidRPr="00800706">
              <w:rPr>
                <w:rFonts w:cstheme="minorHAnsi"/>
                <w:szCs w:val="20"/>
              </w:rPr>
              <w:t>PG&amp;E</w:t>
            </w:r>
          </w:p>
        </w:tc>
        <w:tc>
          <w:tcPr>
            <w:tcW w:w="2644" w:type="pct"/>
            <w:vMerge/>
          </w:tcPr>
          <w:p w:rsidR="003A3170" w:rsidRPr="00800706" w:rsidRDefault="003A3170" w:rsidP="005729C8">
            <w:pPr>
              <w:rPr>
                <w:rFonts w:cstheme="minorHAnsi"/>
                <w:szCs w:val="20"/>
              </w:rPr>
            </w:pPr>
          </w:p>
        </w:tc>
      </w:tr>
      <w:tr w:rsidR="00322982" w:rsidRPr="00800706" w:rsidTr="00322982">
        <w:trPr>
          <w:trHeight w:val="243"/>
        </w:trPr>
        <w:tc>
          <w:tcPr>
            <w:tcW w:w="539" w:type="pct"/>
            <w:vAlign w:val="center"/>
          </w:tcPr>
          <w:p w:rsidR="00322982" w:rsidRPr="00920905" w:rsidRDefault="00322982" w:rsidP="00322982">
            <w:pPr>
              <w:jc w:val="center"/>
              <w:rPr>
                <w:rFonts w:cstheme="minorHAnsi"/>
                <w:color w:val="FF0000"/>
                <w:szCs w:val="20"/>
              </w:rPr>
            </w:pPr>
            <w:r>
              <w:rPr>
                <w:rFonts w:cstheme="minorHAnsi"/>
                <w:szCs w:val="20"/>
              </w:rPr>
              <w:t>N/A</w:t>
            </w:r>
          </w:p>
        </w:tc>
        <w:tc>
          <w:tcPr>
            <w:tcW w:w="539" w:type="pct"/>
            <w:vAlign w:val="center"/>
          </w:tcPr>
          <w:p w:rsidR="00322982" w:rsidRPr="00920905" w:rsidRDefault="00322982" w:rsidP="00322982">
            <w:pPr>
              <w:jc w:val="center"/>
              <w:rPr>
                <w:rFonts w:cstheme="minorHAnsi"/>
                <w:color w:val="FF0000"/>
                <w:szCs w:val="20"/>
              </w:rPr>
            </w:pPr>
            <w:r w:rsidRPr="00322982">
              <w:rPr>
                <w:rFonts w:cstheme="minorHAnsi"/>
                <w:szCs w:val="20"/>
              </w:rPr>
              <w:t>464071</w:t>
            </w:r>
          </w:p>
        </w:tc>
        <w:tc>
          <w:tcPr>
            <w:tcW w:w="605" w:type="pct"/>
            <w:vAlign w:val="center"/>
          </w:tcPr>
          <w:p w:rsidR="00322982" w:rsidRPr="00920905" w:rsidRDefault="00322982" w:rsidP="00A5792A">
            <w:pPr>
              <w:jc w:val="center"/>
              <w:rPr>
                <w:rFonts w:cstheme="minorHAnsi"/>
                <w:color w:val="FF0000"/>
                <w:szCs w:val="20"/>
              </w:rPr>
            </w:pPr>
            <w:r>
              <w:rPr>
                <w:rFonts w:cstheme="minorHAnsi"/>
                <w:szCs w:val="20"/>
              </w:rPr>
              <w:t>N/A</w:t>
            </w:r>
          </w:p>
        </w:tc>
        <w:tc>
          <w:tcPr>
            <w:tcW w:w="673" w:type="pct"/>
            <w:vAlign w:val="center"/>
          </w:tcPr>
          <w:p w:rsidR="00322982" w:rsidRPr="00920905" w:rsidRDefault="00322982" w:rsidP="00A5792A">
            <w:pPr>
              <w:jc w:val="center"/>
              <w:rPr>
                <w:rFonts w:cstheme="minorHAnsi"/>
                <w:color w:val="FF0000"/>
                <w:szCs w:val="20"/>
              </w:rPr>
            </w:pPr>
            <w:r>
              <w:rPr>
                <w:rFonts w:cstheme="minorHAnsi"/>
                <w:szCs w:val="20"/>
              </w:rPr>
              <w:t>N/A</w:t>
            </w:r>
          </w:p>
        </w:tc>
        <w:tc>
          <w:tcPr>
            <w:tcW w:w="2644" w:type="pct"/>
          </w:tcPr>
          <w:p w:rsidR="00322982" w:rsidRPr="00920905" w:rsidRDefault="00322982" w:rsidP="00ED57E7">
            <w:pPr>
              <w:rPr>
                <w:color w:val="FF0000"/>
              </w:rPr>
            </w:pPr>
            <w:r>
              <w:rPr>
                <w:rFonts w:cstheme="minorHAnsi"/>
                <w:szCs w:val="20"/>
              </w:rPr>
              <w:t>Prescriptive Window U-0.32/SHGC 0.23 replacing Standard Window U-0.55/SHGC 0.65</w:t>
            </w:r>
          </w:p>
        </w:tc>
      </w:tr>
    </w:tbl>
    <w:p w:rsidR="00760CDC" w:rsidRPr="00800706" w:rsidRDefault="00760CDC" w:rsidP="00697868">
      <w:pPr>
        <w:pStyle w:val="Reminders"/>
        <w:rPr>
          <w:rFonts w:asciiTheme="minorHAnsi" w:hAnsiTheme="minorHAnsi" w:cstheme="minorHAnsi"/>
          <w:i w:val="0"/>
          <w:szCs w:val="22"/>
        </w:rPr>
      </w:pPr>
    </w:p>
    <w:p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rsidR="00190E54" w:rsidRPr="00EB4F68" w:rsidRDefault="00190E54" w:rsidP="00190E54">
      <w:pPr>
        <w:pStyle w:val="Reminder"/>
        <w:rPr>
          <w:rFonts w:asciiTheme="minorHAnsi" w:hAnsiTheme="minorHAnsi" w:cstheme="minorHAnsi"/>
          <w:i w:val="0"/>
          <w:color w:val="auto"/>
          <w:szCs w:val="22"/>
        </w:rPr>
      </w:pPr>
      <w:r w:rsidRPr="0039511E">
        <w:rPr>
          <w:rFonts w:asciiTheme="minorHAnsi" w:hAnsiTheme="minorHAnsi" w:cstheme="minorHAnsi"/>
          <w:i w:val="0"/>
          <w:color w:val="auto"/>
          <w:szCs w:val="22"/>
        </w:rPr>
        <w:t>Prescriptive</w:t>
      </w:r>
      <w:r>
        <w:rPr>
          <w:rFonts w:asciiTheme="minorHAnsi" w:hAnsiTheme="minorHAnsi" w:cstheme="minorHAnsi"/>
          <w:i w:val="0"/>
          <w:color w:val="auto"/>
          <w:szCs w:val="22"/>
        </w:rPr>
        <w:t xml:space="preserve"> glass/w</w:t>
      </w:r>
      <w:r w:rsidRPr="0039511E">
        <w:rPr>
          <w:rFonts w:asciiTheme="minorHAnsi" w:hAnsiTheme="minorHAnsi" w:cstheme="minorHAnsi"/>
          <w:i w:val="0"/>
          <w:color w:val="auto"/>
          <w:szCs w:val="22"/>
        </w:rPr>
        <w:t>indow</w:t>
      </w:r>
      <w:r>
        <w:rPr>
          <w:rFonts w:asciiTheme="minorHAnsi" w:hAnsiTheme="minorHAnsi" w:cstheme="minorHAnsi"/>
          <w:i w:val="0"/>
          <w:color w:val="auto"/>
          <w:szCs w:val="22"/>
        </w:rPr>
        <w:t xml:space="preserve"> assembly</w:t>
      </w:r>
      <w:r w:rsidRPr="0039511E">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with </w:t>
      </w:r>
      <w:r w:rsidRPr="0039511E">
        <w:rPr>
          <w:rFonts w:asciiTheme="minorHAnsi" w:hAnsiTheme="minorHAnsi" w:cstheme="minorHAnsi"/>
          <w:i w:val="0"/>
          <w:color w:val="auto"/>
          <w:szCs w:val="22"/>
        </w:rPr>
        <w:t>U-0.32/SHGC 0.2</w:t>
      </w:r>
      <w:r w:rsidR="00ED57E7">
        <w:rPr>
          <w:rFonts w:asciiTheme="minorHAnsi" w:hAnsiTheme="minorHAnsi" w:cstheme="minorHAnsi"/>
          <w:i w:val="0"/>
          <w:color w:val="auto"/>
          <w:szCs w:val="22"/>
        </w:rPr>
        <w:t>3</w:t>
      </w:r>
      <w:r w:rsidRPr="0039511E">
        <w:rPr>
          <w:rFonts w:asciiTheme="minorHAnsi" w:hAnsiTheme="minorHAnsi" w:cstheme="minorHAnsi"/>
          <w:i w:val="0"/>
          <w:color w:val="auto"/>
          <w:szCs w:val="22"/>
        </w:rPr>
        <w:t xml:space="preserve"> replacing </w:t>
      </w:r>
      <w:r>
        <w:rPr>
          <w:rFonts w:asciiTheme="minorHAnsi" w:hAnsiTheme="minorHAnsi" w:cstheme="minorHAnsi"/>
          <w:i w:val="0"/>
          <w:color w:val="auto"/>
          <w:szCs w:val="22"/>
        </w:rPr>
        <w:t>a Standard glass/w</w:t>
      </w:r>
      <w:r w:rsidRPr="0039511E">
        <w:rPr>
          <w:rFonts w:asciiTheme="minorHAnsi" w:hAnsiTheme="minorHAnsi" w:cstheme="minorHAnsi"/>
          <w:i w:val="0"/>
          <w:color w:val="auto"/>
          <w:szCs w:val="22"/>
        </w:rPr>
        <w:t>indow</w:t>
      </w:r>
      <w:r>
        <w:rPr>
          <w:rFonts w:asciiTheme="minorHAnsi" w:hAnsiTheme="minorHAnsi" w:cstheme="minorHAnsi"/>
          <w:i w:val="0"/>
          <w:color w:val="auto"/>
          <w:szCs w:val="22"/>
        </w:rPr>
        <w:t xml:space="preserve"> assembly with</w:t>
      </w:r>
      <w:r w:rsidRPr="0039511E">
        <w:rPr>
          <w:rFonts w:asciiTheme="minorHAnsi" w:hAnsiTheme="minorHAnsi" w:cstheme="minorHAnsi"/>
          <w:i w:val="0"/>
          <w:color w:val="auto"/>
          <w:szCs w:val="22"/>
        </w:rPr>
        <w:t xml:space="preserve"> U-0.</w:t>
      </w:r>
      <w:r w:rsidR="00ED57E7">
        <w:rPr>
          <w:rFonts w:asciiTheme="minorHAnsi" w:hAnsiTheme="minorHAnsi" w:cstheme="minorHAnsi"/>
          <w:i w:val="0"/>
          <w:color w:val="auto"/>
          <w:szCs w:val="22"/>
        </w:rPr>
        <w:t>55</w:t>
      </w:r>
      <w:r w:rsidRPr="0039511E">
        <w:rPr>
          <w:rFonts w:asciiTheme="minorHAnsi" w:hAnsiTheme="minorHAnsi" w:cstheme="minorHAnsi"/>
          <w:i w:val="0"/>
          <w:color w:val="auto"/>
          <w:szCs w:val="22"/>
        </w:rPr>
        <w:t>/SHGC 0.</w:t>
      </w:r>
      <w:r w:rsidR="00ED57E7">
        <w:rPr>
          <w:rFonts w:asciiTheme="minorHAnsi" w:hAnsiTheme="minorHAnsi" w:cstheme="minorHAnsi"/>
          <w:i w:val="0"/>
          <w:color w:val="auto"/>
          <w:szCs w:val="22"/>
        </w:rPr>
        <w:t>65</w:t>
      </w:r>
      <w:r>
        <w:rPr>
          <w:rFonts w:asciiTheme="minorHAnsi" w:hAnsiTheme="minorHAnsi" w:cstheme="minorHAnsi"/>
          <w:i w:val="0"/>
          <w:color w:val="auto"/>
          <w:szCs w:val="22"/>
        </w:rPr>
        <w:t xml:space="preserve"> </w:t>
      </w:r>
    </w:p>
    <w:p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rsidR="00190E54" w:rsidRDefault="00190E54" w:rsidP="00190E54">
      <w:pPr>
        <w:pStyle w:val="Calibri11"/>
        <w:rPr>
          <w:rFonts w:asciiTheme="minorHAnsi" w:hAnsiTheme="minorHAnsi"/>
          <w:color w:val="auto"/>
          <w:sz w:val="22"/>
          <w:szCs w:val="22"/>
        </w:rPr>
      </w:pPr>
      <w:r w:rsidRPr="008D275A">
        <w:rPr>
          <w:rFonts w:asciiTheme="minorHAnsi" w:hAnsiTheme="minorHAnsi"/>
          <w:color w:val="auto"/>
          <w:sz w:val="22"/>
          <w:szCs w:val="22"/>
        </w:rPr>
        <w:t>The install type is Retrofit (RET)</w:t>
      </w:r>
      <w:r>
        <w:rPr>
          <w:rFonts w:asciiTheme="minorHAnsi" w:hAnsiTheme="minorHAnsi"/>
          <w:color w:val="auto"/>
          <w:sz w:val="22"/>
          <w:szCs w:val="22"/>
        </w:rPr>
        <w:t>.</w:t>
      </w:r>
    </w:p>
    <w:p w:rsidR="00190E54" w:rsidRDefault="00190E54" w:rsidP="00190E54">
      <w:pPr>
        <w:pStyle w:val="Calibri11"/>
        <w:rPr>
          <w:rFonts w:asciiTheme="minorHAnsi" w:hAnsiTheme="minorHAnsi"/>
          <w:color w:val="auto"/>
          <w:sz w:val="22"/>
          <w:szCs w:val="22"/>
        </w:rPr>
      </w:pPr>
    </w:p>
    <w:p w:rsidR="001B2301" w:rsidRPr="00920905" w:rsidRDefault="00C05AAF" w:rsidP="002D5592">
      <w:pPr>
        <w:pStyle w:val="NoSpacing"/>
        <w:keepNext/>
        <w:rPr>
          <w:rFonts w:cstheme="minorHAnsi"/>
          <w:b/>
          <w:i/>
        </w:rPr>
      </w:pPr>
      <w:r w:rsidRPr="00920905">
        <w:rPr>
          <w:b/>
        </w:rPr>
        <w:lastRenderedPageBreak/>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rsidTr="00920905">
        <w:trPr>
          <w:trHeight w:val="20"/>
        </w:trPr>
        <w:tc>
          <w:tcPr>
            <w:tcW w:w="1778" w:type="pct"/>
            <w:vMerge w:val="restart"/>
            <w:shd w:val="clear" w:color="auto" w:fill="D9D9D9" w:themeFill="background1" w:themeFillShade="D9"/>
          </w:tcPr>
          <w:p w:rsidR="006F1B21" w:rsidRPr="00920905" w:rsidRDefault="006F1B21" w:rsidP="002D5592">
            <w:pPr>
              <w:keepNext/>
              <w:rPr>
                <w:b/>
                <w:sz w:val="18"/>
                <w:szCs w:val="18"/>
              </w:rPr>
            </w:pPr>
            <w:r w:rsidRPr="00920905">
              <w:rPr>
                <w:b/>
                <w:sz w:val="18"/>
                <w:szCs w:val="18"/>
              </w:rPr>
              <w:t>Installation Type</w:t>
            </w:r>
          </w:p>
        </w:tc>
        <w:tc>
          <w:tcPr>
            <w:tcW w:w="2215" w:type="pct"/>
            <w:gridSpan w:val="2"/>
            <w:shd w:val="clear" w:color="auto" w:fill="D9D9D9" w:themeFill="background1" w:themeFillShade="D9"/>
          </w:tcPr>
          <w:p w:rsidR="006F1B21" w:rsidRPr="00920905" w:rsidRDefault="006F1B21" w:rsidP="002D5592">
            <w:pPr>
              <w:keepNext/>
              <w:rPr>
                <w:b/>
                <w:sz w:val="18"/>
                <w:szCs w:val="18"/>
              </w:rPr>
            </w:pPr>
            <w:r w:rsidRPr="00920905">
              <w:rPr>
                <w:b/>
                <w:sz w:val="18"/>
                <w:szCs w:val="18"/>
              </w:rPr>
              <w:t>Savings</w:t>
            </w:r>
          </w:p>
        </w:tc>
        <w:tc>
          <w:tcPr>
            <w:tcW w:w="1007" w:type="pct"/>
            <w:gridSpan w:val="2"/>
            <w:shd w:val="clear" w:color="auto" w:fill="D9D9D9" w:themeFill="background1" w:themeFillShade="D9"/>
          </w:tcPr>
          <w:p w:rsidR="006F1B21" w:rsidRPr="00920905" w:rsidRDefault="006F1B21" w:rsidP="002D5592">
            <w:pPr>
              <w:keepNext/>
              <w:rPr>
                <w:b/>
                <w:sz w:val="18"/>
                <w:szCs w:val="18"/>
              </w:rPr>
            </w:pPr>
            <w:r w:rsidRPr="00920905">
              <w:rPr>
                <w:b/>
                <w:sz w:val="18"/>
                <w:szCs w:val="18"/>
              </w:rPr>
              <w:t>Life</w:t>
            </w:r>
          </w:p>
        </w:tc>
      </w:tr>
      <w:tr w:rsidR="006F1B21" w:rsidRPr="00500C4E" w:rsidTr="006F1B21">
        <w:trPr>
          <w:trHeight w:val="20"/>
        </w:trPr>
        <w:tc>
          <w:tcPr>
            <w:tcW w:w="1778" w:type="pct"/>
            <w:vMerge/>
            <w:shd w:val="clear" w:color="auto" w:fill="D9D9D9" w:themeFill="background1" w:themeFillShade="D9"/>
          </w:tcPr>
          <w:p w:rsidR="006F1B21" w:rsidRPr="00500C4E" w:rsidRDefault="006F1B21" w:rsidP="002D5592">
            <w:pPr>
              <w:keepNext/>
              <w:rPr>
                <w:sz w:val="18"/>
                <w:szCs w:val="18"/>
              </w:rPr>
            </w:pPr>
          </w:p>
        </w:tc>
        <w:tc>
          <w:tcPr>
            <w:tcW w:w="1107" w:type="pct"/>
            <w:shd w:val="clear" w:color="auto" w:fill="F2F2F2" w:themeFill="background1" w:themeFillShade="F2"/>
          </w:tcPr>
          <w:p w:rsidR="006F1B21" w:rsidRPr="00920905" w:rsidRDefault="006F1B21" w:rsidP="002D5592">
            <w:pPr>
              <w:keepNext/>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rsidR="006F1B21" w:rsidRPr="00920905" w:rsidRDefault="006F1B21" w:rsidP="002D5592">
            <w:pPr>
              <w:keepNext/>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rsidR="006F1B21" w:rsidRPr="00920905" w:rsidRDefault="006F1B21" w:rsidP="002D5592">
            <w:pPr>
              <w:keepNext/>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rsidR="006F1B21" w:rsidRPr="00920905" w:rsidRDefault="006F1B21" w:rsidP="002D5592">
            <w:pPr>
              <w:keepNext/>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190E54" w:rsidRPr="00500C4E" w:rsidTr="006F1B21">
        <w:trPr>
          <w:trHeight w:val="20"/>
        </w:trPr>
        <w:tc>
          <w:tcPr>
            <w:tcW w:w="1778" w:type="pct"/>
          </w:tcPr>
          <w:p w:rsidR="00190E54" w:rsidRPr="00500C4E" w:rsidRDefault="00190E54" w:rsidP="002D5592">
            <w:pPr>
              <w:keepNext/>
              <w:rPr>
                <w:sz w:val="18"/>
                <w:szCs w:val="18"/>
              </w:rPr>
            </w:pPr>
            <w:r w:rsidRPr="00500C4E">
              <w:rPr>
                <w:sz w:val="18"/>
                <w:szCs w:val="18"/>
              </w:rPr>
              <w:t>Retrofit</w:t>
            </w:r>
            <w:r>
              <w:rPr>
                <w:sz w:val="18"/>
                <w:szCs w:val="18"/>
              </w:rPr>
              <w:t xml:space="preserve"> or</w:t>
            </w:r>
            <w:r w:rsidRPr="00500C4E">
              <w:rPr>
                <w:sz w:val="18"/>
                <w:szCs w:val="18"/>
              </w:rPr>
              <w:t xml:space="preserve"> Early Replacement (</w:t>
            </w:r>
            <w:r>
              <w:rPr>
                <w:sz w:val="18"/>
                <w:szCs w:val="18"/>
              </w:rPr>
              <w:t>RET/</w:t>
            </w:r>
            <w:r w:rsidRPr="00500C4E">
              <w:rPr>
                <w:sz w:val="18"/>
                <w:szCs w:val="18"/>
              </w:rPr>
              <w:t>ER)</w:t>
            </w:r>
          </w:p>
        </w:tc>
        <w:tc>
          <w:tcPr>
            <w:tcW w:w="1107" w:type="pct"/>
          </w:tcPr>
          <w:p w:rsidR="00190E54" w:rsidRPr="00500C4E" w:rsidRDefault="00190E54" w:rsidP="002D5592">
            <w:pPr>
              <w:keepNext/>
              <w:rPr>
                <w:sz w:val="18"/>
                <w:szCs w:val="18"/>
              </w:rPr>
            </w:pPr>
            <w:r w:rsidRPr="00500C4E">
              <w:rPr>
                <w:sz w:val="18"/>
                <w:szCs w:val="18"/>
              </w:rPr>
              <w:t>Above Customer Existing</w:t>
            </w:r>
          </w:p>
        </w:tc>
        <w:tc>
          <w:tcPr>
            <w:tcW w:w="1108" w:type="pct"/>
          </w:tcPr>
          <w:p w:rsidR="00190E54" w:rsidRPr="00500C4E" w:rsidRDefault="00190E54" w:rsidP="002D5592">
            <w:pPr>
              <w:keepNext/>
              <w:rPr>
                <w:sz w:val="18"/>
                <w:szCs w:val="18"/>
              </w:rPr>
            </w:pPr>
            <w:r w:rsidRPr="00500C4E">
              <w:rPr>
                <w:sz w:val="18"/>
                <w:szCs w:val="18"/>
              </w:rPr>
              <w:t>Above Code or Standard</w:t>
            </w:r>
          </w:p>
        </w:tc>
        <w:tc>
          <w:tcPr>
            <w:tcW w:w="481" w:type="pct"/>
          </w:tcPr>
          <w:p w:rsidR="00190E54" w:rsidRPr="00500C4E" w:rsidRDefault="00190E54" w:rsidP="002D5592">
            <w:pPr>
              <w:keepNext/>
              <w:rPr>
                <w:sz w:val="18"/>
                <w:szCs w:val="18"/>
              </w:rPr>
            </w:pPr>
            <w:r w:rsidRPr="00500C4E">
              <w:rPr>
                <w:sz w:val="18"/>
                <w:szCs w:val="18"/>
              </w:rPr>
              <w:t>RUL</w:t>
            </w:r>
          </w:p>
        </w:tc>
        <w:tc>
          <w:tcPr>
            <w:tcW w:w="526" w:type="pct"/>
          </w:tcPr>
          <w:p w:rsidR="00190E54" w:rsidRPr="00500C4E" w:rsidRDefault="00190E54" w:rsidP="002D5592">
            <w:pPr>
              <w:keepNext/>
              <w:rPr>
                <w:sz w:val="18"/>
                <w:szCs w:val="18"/>
              </w:rPr>
            </w:pPr>
            <w:r w:rsidRPr="00500C4E">
              <w:rPr>
                <w:sz w:val="18"/>
                <w:szCs w:val="18"/>
              </w:rPr>
              <w:t>EUL-RUL</w:t>
            </w:r>
          </w:p>
        </w:tc>
      </w:tr>
    </w:tbl>
    <w:p w:rsidR="001B2301" w:rsidRDefault="001B2301" w:rsidP="00697868">
      <w:pPr>
        <w:pStyle w:val="Reminders"/>
        <w:tabs>
          <w:tab w:val="num" w:pos="360"/>
        </w:tabs>
        <w:rPr>
          <w:rFonts w:asciiTheme="minorHAnsi" w:hAnsiTheme="minorHAnsi" w:cstheme="minorHAnsi"/>
          <w:i w:val="0"/>
          <w:szCs w:val="22"/>
        </w:rPr>
      </w:pPr>
    </w:p>
    <w:p w:rsidR="00190E54" w:rsidRPr="008D275A" w:rsidRDefault="00190E54" w:rsidP="00190E54">
      <w:pPr>
        <w:pStyle w:val="Calibri11"/>
        <w:tabs>
          <w:tab w:val="left" w:pos="5961"/>
        </w:tabs>
        <w:rPr>
          <w:rFonts w:asciiTheme="minorHAnsi" w:hAnsiTheme="minorHAnsi"/>
          <w:color w:val="auto"/>
          <w:sz w:val="22"/>
          <w:szCs w:val="22"/>
        </w:rPr>
      </w:pPr>
      <w:r w:rsidRPr="008D275A">
        <w:rPr>
          <w:rFonts w:asciiTheme="minorHAnsi" w:hAnsiTheme="minorHAnsi"/>
          <w:color w:val="auto"/>
          <w:sz w:val="22"/>
          <w:szCs w:val="22"/>
        </w:rPr>
        <w:t>The delivery mechanism</w:t>
      </w:r>
      <w:r w:rsidR="00064F2D">
        <w:rPr>
          <w:rFonts w:asciiTheme="minorHAnsi" w:hAnsiTheme="minorHAnsi"/>
          <w:color w:val="auto"/>
          <w:sz w:val="22"/>
          <w:szCs w:val="22"/>
        </w:rPr>
        <w:t>s are</w:t>
      </w:r>
      <w:r w:rsidRPr="008D275A">
        <w:rPr>
          <w:rFonts w:asciiTheme="minorHAnsi" w:hAnsiTheme="minorHAnsi"/>
          <w:color w:val="auto"/>
          <w:sz w:val="22"/>
          <w:szCs w:val="22"/>
        </w:rPr>
        <w:t xml:space="preserve"> </w:t>
      </w:r>
      <w:r w:rsidR="00ED57E7">
        <w:rPr>
          <w:rFonts w:asciiTheme="minorHAnsi" w:hAnsiTheme="minorHAnsi"/>
          <w:color w:val="auto"/>
          <w:sz w:val="22"/>
          <w:szCs w:val="22"/>
        </w:rPr>
        <w:t>Direct Install</w:t>
      </w:r>
      <w:r w:rsidR="00064F2D">
        <w:rPr>
          <w:rFonts w:asciiTheme="minorHAnsi" w:hAnsiTheme="minorHAnsi"/>
          <w:color w:val="auto"/>
          <w:sz w:val="22"/>
          <w:szCs w:val="22"/>
        </w:rPr>
        <w:t xml:space="preserve"> and </w:t>
      </w:r>
      <w:r w:rsidR="00064F2D" w:rsidRPr="00064F2D">
        <w:rPr>
          <w:rFonts w:asciiTheme="minorHAnsi" w:hAnsiTheme="minorHAnsi"/>
          <w:color w:val="auto"/>
          <w:sz w:val="22"/>
          <w:szCs w:val="22"/>
        </w:rPr>
        <w:t>Down-Stream Incentive</w:t>
      </w:r>
      <w:r w:rsidRPr="008D275A">
        <w:rPr>
          <w:rFonts w:asciiTheme="minorHAnsi" w:hAnsiTheme="minorHAnsi"/>
          <w:color w:val="auto"/>
          <w:sz w:val="22"/>
          <w:szCs w:val="22"/>
        </w:rPr>
        <w:t>.</w:t>
      </w:r>
      <w:r>
        <w:rPr>
          <w:rFonts w:asciiTheme="minorHAnsi" w:hAnsiTheme="minorHAnsi"/>
          <w:color w:val="auto"/>
          <w:sz w:val="22"/>
          <w:szCs w:val="22"/>
        </w:rPr>
        <w:tab/>
      </w:r>
    </w:p>
    <w:p w:rsidR="00190E54" w:rsidRDefault="00190E54" w:rsidP="00920905">
      <w:pPr>
        <w:pStyle w:val="NoSpacing"/>
      </w:pPr>
    </w:p>
    <w:p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rsidR="00C05AAF" w:rsidRDefault="00C05AAF" w:rsidP="00920905">
      <w:pPr>
        <w:pStyle w:val="NoSpacing"/>
      </w:pPr>
    </w:p>
    <w:p w:rsidR="00C05AAF" w:rsidRPr="00500C4E" w:rsidRDefault="00AA16C0" w:rsidP="00920905">
      <w:pPr>
        <w:pStyle w:val="NoSpacing"/>
      </w:pPr>
      <w:r w:rsidRPr="00B40D5A">
        <w:rPr>
          <w:b/>
        </w:rPr>
        <w:t>Delivery Method Descriptions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rsidTr="00920905">
        <w:tc>
          <w:tcPr>
            <w:tcW w:w="1297" w:type="pct"/>
            <w:shd w:val="clear" w:color="auto" w:fill="D9D9D9" w:themeFill="background1" w:themeFillShade="D9"/>
          </w:tcPr>
          <w:p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rsidR="00C05AAF" w:rsidRPr="00920905" w:rsidRDefault="00C05AAF" w:rsidP="008F6298">
            <w:pPr>
              <w:rPr>
                <w:b/>
                <w:sz w:val="18"/>
                <w:szCs w:val="18"/>
              </w:rPr>
            </w:pPr>
            <w:r w:rsidRPr="00920905">
              <w:rPr>
                <w:b/>
                <w:sz w:val="18"/>
                <w:szCs w:val="18"/>
              </w:rPr>
              <w:t>Description</w:t>
            </w:r>
          </w:p>
        </w:tc>
      </w:tr>
      <w:tr w:rsidR="00C05AAF" w:rsidRPr="00A3164A" w:rsidTr="00322982">
        <w:tc>
          <w:tcPr>
            <w:tcW w:w="1297" w:type="pct"/>
            <w:vAlign w:val="center"/>
          </w:tcPr>
          <w:p w:rsidR="00C05AAF" w:rsidRPr="00B40D5A" w:rsidRDefault="00C05AAF" w:rsidP="00322982">
            <w:pPr>
              <w:pStyle w:val="NoSpacing"/>
              <w:rPr>
                <w:sz w:val="18"/>
                <w:szCs w:val="18"/>
              </w:rPr>
            </w:pPr>
            <w:r w:rsidRPr="00B40D5A">
              <w:rPr>
                <w:rFonts w:eastAsiaTheme="minorHAnsi" w:cs="BookAntiqua"/>
                <w:sz w:val="18"/>
                <w:szCs w:val="18"/>
              </w:rPr>
              <w:t>Financial Support</w:t>
            </w:r>
          </w:p>
        </w:tc>
        <w:tc>
          <w:tcPr>
            <w:tcW w:w="3703" w:type="pct"/>
          </w:tcPr>
          <w:p w:rsidR="00C05AAF" w:rsidRPr="00B40D5A" w:rsidRDefault="00C05AAF" w:rsidP="00920905">
            <w:pPr>
              <w:pStyle w:val="NoSpacing"/>
              <w:rPr>
                <w:sz w:val="18"/>
                <w:szCs w:val="18"/>
              </w:rPr>
            </w:pPr>
            <w:r w:rsidRPr="00B40D5A">
              <w:rPr>
                <w:rFonts w:eastAsiaTheme="minorHAnsi" w:cs="BookAntiqua"/>
                <w:sz w:val="18"/>
                <w:szCs w:val="18"/>
              </w:rPr>
              <w:t>The program motivates customers, through financial incentives such as rebates or low interest loans, to implement energy efficient measures or</w:t>
            </w:r>
            <w:r w:rsidR="00AA4CDC" w:rsidRPr="00B40D5A">
              <w:rPr>
                <w:rFonts w:eastAsiaTheme="minorHAnsi" w:cs="BookAntiqua"/>
                <w:sz w:val="18"/>
                <w:szCs w:val="18"/>
              </w:rPr>
              <w:t xml:space="preserve"> projects.</w:t>
            </w:r>
          </w:p>
        </w:tc>
      </w:tr>
    </w:tbl>
    <w:p w:rsidR="001B2301" w:rsidRPr="00500C4E" w:rsidRDefault="001B2301" w:rsidP="00920905"/>
    <w:p w:rsidR="00AA16C0" w:rsidRPr="00500C4E" w:rsidRDefault="00AA16C0" w:rsidP="00920905">
      <w:pPr>
        <w:pStyle w:val="NoSpacing"/>
      </w:pPr>
      <w:r w:rsidRPr="0028245A">
        <w:rPr>
          <w:b/>
        </w:rPr>
        <w:t>Incentive Method Descriptions</w:t>
      </w:r>
    </w:p>
    <w:tbl>
      <w:tblPr>
        <w:tblStyle w:val="TableGrid1"/>
        <w:tblW w:w="5000" w:type="pct"/>
        <w:tblLook w:val="04A0" w:firstRow="1" w:lastRow="0" w:firstColumn="1" w:lastColumn="0" w:noHBand="0" w:noVBand="1"/>
      </w:tblPr>
      <w:tblGrid>
        <w:gridCol w:w="2484"/>
        <w:gridCol w:w="7092"/>
      </w:tblGrid>
      <w:tr w:rsidR="001B2301" w:rsidRPr="00A3164A" w:rsidTr="00920905">
        <w:tc>
          <w:tcPr>
            <w:tcW w:w="1297" w:type="pct"/>
            <w:shd w:val="clear" w:color="auto" w:fill="D9D9D9" w:themeFill="background1" w:themeFillShade="D9"/>
          </w:tcPr>
          <w:p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rsidR="001B2301" w:rsidRPr="00920905" w:rsidRDefault="001B2301" w:rsidP="001B2301">
            <w:pPr>
              <w:rPr>
                <w:b/>
                <w:sz w:val="18"/>
                <w:szCs w:val="18"/>
              </w:rPr>
            </w:pPr>
            <w:r w:rsidRPr="00920905">
              <w:rPr>
                <w:b/>
                <w:sz w:val="18"/>
                <w:szCs w:val="18"/>
              </w:rPr>
              <w:t>Description</w:t>
            </w:r>
          </w:p>
        </w:tc>
      </w:tr>
      <w:tr w:rsidR="001B2301" w:rsidRPr="00A3164A" w:rsidTr="00322982">
        <w:tc>
          <w:tcPr>
            <w:tcW w:w="1297" w:type="pct"/>
            <w:vAlign w:val="center"/>
          </w:tcPr>
          <w:p w:rsidR="001B2301" w:rsidRPr="00920905" w:rsidRDefault="00AA4CDC" w:rsidP="00322982">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064F2D" w:rsidRPr="00A3164A" w:rsidTr="00322982">
        <w:tc>
          <w:tcPr>
            <w:tcW w:w="1297" w:type="pct"/>
            <w:vAlign w:val="center"/>
          </w:tcPr>
          <w:p w:rsidR="00064F2D" w:rsidRPr="00920905" w:rsidRDefault="00064F2D" w:rsidP="00322982">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rsidR="00064F2D" w:rsidRPr="00920905" w:rsidRDefault="00064F2D" w:rsidP="00E835F6">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bl>
    <w:p w:rsidR="00E16609" w:rsidRPr="00500C4E" w:rsidRDefault="00824F1C" w:rsidP="00322982">
      <w:pPr>
        <w:pStyle w:val="Heading2"/>
        <w:spacing w:before="120"/>
        <w:rPr>
          <w:rFonts w:asciiTheme="minorHAnsi" w:hAnsiTheme="minorHAnsi" w:cstheme="minorHAnsi"/>
        </w:rPr>
      </w:pPr>
      <w:bookmarkStart w:id="9"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9"/>
      <w:r w:rsidR="00F810DD">
        <w:rPr>
          <w:rFonts w:asciiTheme="minorHAnsi" w:hAnsiTheme="minorHAnsi" w:cstheme="minorHAnsi"/>
        </w:rPr>
        <w:t>Parameters</w:t>
      </w:r>
    </w:p>
    <w:p w:rsidR="00F06CCF" w:rsidRPr="00500C4E" w:rsidRDefault="00F06CCF" w:rsidP="00322982">
      <w:pPr>
        <w:pStyle w:val="Heading3"/>
        <w:spacing w:before="120"/>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rsidR="00E326BA" w:rsidRPr="00920905" w:rsidRDefault="00E326BA" w:rsidP="00920905">
      <w:pPr>
        <w:pStyle w:val="Caption"/>
        <w:keepNext/>
        <w:jc w:val="center"/>
        <w:rPr>
          <w:rFonts w:cs="Arial"/>
          <w:szCs w:val="22"/>
        </w:rPr>
      </w:pPr>
      <w:bookmarkStart w:id="10" w:name="_Toc385592671"/>
      <w:bookmarkStart w:id="11" w:name="_Toc214003087"/>
      <w:r w:rsidRPr="00920905">
        <w:rPr>
          <w:rFonts w:cs="Arial"/>
          <w:szCs w:val="22"/>
        </w:rPr>
        <w:t>DEER Difference Summary</w:t>
      </w:r>
      <w:bookmarkEnd w:id="10"/>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rsidTr="00920905">
        <w:trPr>
          <w:trHeight w:val="20"/>
        </w:trPr>
        <w:tc>
          <w:tcPr>
            <w:tcW w:w="1548" w:type="pct"/>
            <w:shd w:val="clear" w:color="auto" w:fill="D9D9D9" w:themeFill="background1" w:themeFillShade="D9"/>
          </w:tcPr>
          <w:p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190E54" w:rsidRPr="00500C4E" w:rsidTr="00920905">
        <w:trPr>
          <w:trHeight w:val="20"/>
        </w:trPr>
        <w:tc>
          <w:tcPr>
            <w:tcW w:w="1548" w:type="pct"/>
          </w:tcPr>
          <w:p w:rsidR="00190E54" w:rsidRPr="00920905" w:rsidRDefault="00190E54" w:rsidP="00920905">
            <w:pPr>
              <w:rPr>
                <w:rFonts w:cs="Arial"/>
                <w:szCs w:val="20"/>
              </w:rPr>
            </w:pPr>
            <w:r w:rsidRPr="00920905">
              <w:rPr>
                <w:rFonts w:cs="Arial"/>
                <w:szCs w:val="20"/>
              </w:rPr>
              <w:t>Modified DEER methodology</w:t>
            </w:r>
          </w:p>
        </w:tc>
        <w:tc>
          <w:tcPr>
            <w:tcW w:w="3452" w:type="pct"/>
          </w:tcPr>
          <w:p w:rsidR="00190E54" w:rsidRPr="00B00FC0" w:rsidRDefault="00190E54" w:rsidP="00DA5D77">
            <w:pPr>
              <w:rPr>
                <w:rFonts w:cs="Arial"/>
                <w:b/>
                <w:szCs w:val="20"/>
              </w:rPr>
            </w:pPr>
            <w:r w:rsidRPr="00B00FC0">
              <w:rPr>
                <w:rFonts w:cs="Arial"/>
                <w:szCs w:val="20"/>
              </w:rPr>
              <w:t>Yes</w:t>
            </w:r>
          </w:p>
        </w:tc>
      </w:tr>
      <w:tr w:rsidR="00190E54" w:rsidRPr="00500C4E" w:rsidTr="00920905">
        <w:trPr>
          <w:trHeight w:val="20"/>
        </w:trPr>
        <w:tc>
          <w:tcPr>
            <w:tcW w:w="1548" w:type="pct"/>
          </w:tcPr>
          <w:p w:rsidR="00190E54" w:rsidRPr="00920905" w:rsidRDefault="00190E54" w:rsidP="00920905">
            <w:pPr>
              <w:rPr>
                <w:rFonts w:cs="Arial"/>
                <w:szCs w:val="20"/>
              </w:rPr>
            </w:pPr>
            <w:r w:rsidRPr="00920905">
              <w:rPr>
                <w:rFonts w:cs="Arial"/>
                <w:szCs w:val="20"/>
              </w:rPr>
              <w:t>Scaled DEER measure</w:t>
            </w:r>
          </w:p>
        </w:tc>
        <w:tc>
          <w:tcPr>
            <w:tcW w:w="3452" w:type="pct"/>
          </w:tcPr>
          <w:p w:rsidR="00190E54" w:rsidRPr="00B00FC0" w:rsidRDefault="00190E54" w:rsidP="00DA5D77">
            <w:pPr>
              <w:rPr>
                <w:rFonts w:cs="Arial"/>
                <w:szCs w:val="20"/>
              </w:rPr>
            </w:pPr>
            <w:r w:rsidRPr="00B00FC0">
              <w:rPr>
                <w:rFonts w:cs="Arial"/>
                <w:szCs w:val="20"/>
              </w:rPr>
              <w:t>No</w:t>
            </w:r>
          </w:p>
        </w:tc>
      </w:tr>
      <w:tr w:rsidR="00190E54" w:rsidRPr="00500C4E" w:rsidTr="00920905">
        <w:trPr>
          <w:trHeight w:val="20"/>
        </w:trPr>
        <w:tc>
          <w:tcPr>
            <w:tcW w:w="1548" w:type="pct"/>
          </w:tcPr>
          <w:p w:rsidR="00190E54" w:rsidRPr="00920905" w:rsidRDefault="00190E54" w:rsidP="00920905">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ase </w:t>
            </w:r>
            <w:r w:rsidRPr="00500C4E">
              <w:rPr>
                <w:rFonts w:cs="Arial"/>
                <w:szCs w:val="20"/>
              </w:rPr>
              <w:t>C</w:t>
            </w:r>
            <w:r w:rsidRPr="00920905">
              <w:rPr>
                <w:rFonts w:cs="Arial"/>
                <w:szCs w:val="20"/>
              </w:rPr>
              <w:t>ase</w:t>
            </w:r>
          </w:p>
        </w:tc>
        <w:tc>
          <w:tcPr>
            <w:tcW w:w="3452" w:type="pct"/>
          </w:tcPr>
          <w:p w:rsidR="00190E54" w:rsidRPr="00B00FC0" w:rsidRDefault="00190E54" w:rsidP="00DA5D77">
            <w:pPr>
              <w:rPr>
                <w:rFonts w:cs="Arial"/>
                <w:szCs w:val="20"/>
              </w:rPr>
            </w:pPr>
            <w:r>
              <w:rPr>
                <w:rFonts w:cs="Arial"/>
                <w:szCs w:val="20"/>
              </w:rPr>
              <w:t>Yes</w:t>
            </w:r>
          </w:p>
        </w:tc>
      </w:tr>
      <w:tr w:rsidR="00190E54" w:rsidRPr="00500C4E" w:rsidTr="00920905">
        <w:trPr>
          <w:trHeight w:val="20"/>
        </w:trPr>
        <w:tc>
          <w:tcPr>
            <w:tcW w:w="1548" w:type="pct"/>
          </w:tcPr>
          <w:p w:rsidR="00190E54" w:rsidRPr="00920905" w:rsidRDefault="00190E54" w:rsidP="00920905">
            <w:pPr>
              <w:rPr>
                <w:rFonts w:cs="Arial"/>
                <w:szCs w:val="20"/>
              </w:rPr>
            </w:pPr>
            <w:r w:rsidRPr="00920905">
              <w:rPr>
                <w:rFonts w:cs="Arial"/>
                <w:szCs w:val="20"/>
              </w:rPr>
              <w:t xml:space="preserve">DEER </w:t>
            </w:r>
            <w:r w:rsidRPr="00500C4E">
              <w:rPr>
                <w:rFonts w:cs="Arial"/>
                <w:szCs w:val="20"/>
              </w:rPr>
              <w:t>M</w:t>
            </w:r>
            <w:r w:rsidRPr="00920905">
              <w:rPr>
                <w:rFonts w:cs="Arial"/>
                <w:szCs w:val="20"/>
              </w:rPr>
              <w:t xml:space="preserve">easure </w:t>
            </w:r>
            <w:r w:rsidRPr="00500C4E">
              <w:rPr>
                <w:rFonts w:cs="Arial"/>
                <w:szCs w:val="20"/>
              </w:rPr>
              <w:t>C</w:t>
            </w:r>
            <w:r w:rsidRPr="00920905">
              <w:rPr>
                <w:rFonts w:cs="Arial"/>
                <w:szCs w:val="20"/>
              </w:rPr>
              <w:t>ase</w:t>
            </w:r>
          </w:p>
        </w:tc>
        <w:tc>
          <w:tcPr>
            <w:tcW w:w="3452" w:type="pct"/>
          </w:tcPr>
          <w:p w:rsidR="00190E54" w:rsidRPr="00B00FC0" w:rsidRDefault="00190E54" w:rsidP="00DA5D77">
            <w:pPr>
              <w:rPr>
                <w:rFonts w:cs="Arial"/>
                <w:szCs w:val="20"/>
              </w:rPr>
            </w:pPr>
            <w:r w:rsidRPr="00B00FC0">
              <w:rPr>
                <w:rFonts w:cs="Arial"/>
                <w:szCs w:val="20"/>
              </w:rPr>
              <w:t>No</w:t>
            </w:r>
          </w:p>
        </w:tc>
      </w:tr>
      <w:tr w:rsidR="00190E54" w:rsidRPr="00500C4E" w:rsidTr="00920905">
        <w:trPr>
          <w:trHeight w:val="20"/>
        </w:trPr>
        <w:tc>
          <w:tcPr>
            <w:tcW w:w="1548" w:type="pct"/>
          </w:tcPr>
          <w:p w:rsidR="00190E54" w:rsidRPr="00920905" w:rsidRDefault="00190E54" w:rsidP="00920905">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uilding </w:t>
            </w:r>
            <w:r w:rsidRPr="00500C4E">
              <w:rPr>
                <w:rFonts w:cs="Arial"/>
                <w:szCs w:val="20"/>
              </w:rPr>
              <w:t>T</w:t>
            </w:r>
            <w:r w:rsidRPr="00920905">
              <w:rPr>
                <w:rFonts w:cs="Arial"/>
                <w:szCs w:val="20"/>
              </w:rPr>
              <w:t>ypes</w:t>
            </w:r>
          </w:p>
        </w:tc>
        <w:tc>
          <w:tcPr>
            <w:tcW w:w="3452" w:type="pct"/>
          </w:tcPr>
          <w:p w:rsidR="00190E54" w:rsidRPr="00B00FC0" w:rsidRDefault="00190E54" w:rsidP="00DA5D77">
            <w:pPr>
              <w:rPr>
                <w:rFonts w:cs="Arial"/>
                <w:szCs w:val="20"/>
              </w:rPr>
            </w:pPr>
            <w:r w:rsidRPr="00B00FC0">
              <w:rPr>
                <w:rFonts w:cs="Arial"/>
                <w:szCs w:val="20"/>
              </w:rPr>
              <w:t>Yes</w:t>
            </w:r>
          </w:p>
        </w:tc>
      </w:tr>
      <w:tr w:rsidR="00190E54" w:rsidRPr="00500C4E" w:rsidTr="00920905">
        <w:trPr>
          <w:trHeight w:val="20"/>
        </w:trPr>
        <w:tc>
          <w:tcPr>
            <w:tcW w:w="1548" w:type="pct"/>
          </w:tcPr>
          <w:p w:rsidR="00190E54" w:rsidRPr="00920905" w:rsidRDefault="00190E54" w:rsidP="00920905">
            <w:pPr>
              <w:rPr>
                <w:rFonts w:cs="Arial"/>
                <w:szCs w:val="20"/>
              </w:rPr>
            </w:pPr>
            <w:r w:rsidRPr="00920905">
              <w:rPr>
                <w:rFonts w:cs="Arial"/>
                <w:szCs w:val="20"/>
              </w:rPr>
              <w:t xml:space="preserve">DEER </w:t>
            </w:r>
            <w:r w:rsidRPr="00500C4E">
              <w:rPr>
                <w:rFonts w:cs="Arial"/>
                <w:szCs w:val="20"/>
              </w:rPr>
              <w:t>O</w:t>
            </w:r>
            <w:r w:rsidRPr="00920905">
              <w:rPr>
                <w:rFonts w:cs="Arial"/>
                <w:szCs w:val="20"/>
              </w:rPr>
              <w:t xml:space="preserve">perating </w:t>
            </w:r>
            <w:r w:rsidRPr="00500C4E">
              <w:rPr>
                <w:rFonts w:cs="Arial"/>
                <w:szCs w:val="20"/>
              </w:rPr>
              <w:t>H</w:t>
            </w:r>
            <w:r w:rsidRPr="00920905">
              <w:rPr>
                <w:rFonts w:cs="Arial"/>
                <w:szCs w:val="20"/>
              </w:rPr>
              <w:t>ours</w:t>
            </w:r>
          </w:p>
        </w:tc>
        <w:tc>
          <w:tcPr>
            <w:tcW w:w="3452" w:type="pct"/>
          </w:tcPr>
          <w:p w:rsidR="00190E54" w:rsidRPr="00B00FC0" w:rsidRDefault="00190E54" w:rsidP="00DA5D77">
            <w:pPr>
              <w:rPr>
                <w:rFonts w:cs="Arial"/>
                <w:szCs w:val="20"/>
              </w:rPr>
            </w:pPr>
            <w:r>
              <w:rPr>
                <w:rFonts w:cs="Arial"/>
                <w:szCs w:val="20"/>
              </w:rPr>
              <w:t>Yes</w:t>
            </w:r>
          </w:p>
        </w:tc>
      </w:tr>
      <w:tr w:rsidR="00190E54" w:rsidRPr="00500C4E" w:rsidTr="00920905">
        <w:trPr>
          <w:trHeight w:val="20"/>
        </w:trPr>
        <w:tc>
          <w:tcPr>
            <w:tcW w:w="1548" w:type="pct"/>
          </w:tcPr>
          <w:p w:rsidR="00190E54" w:rsidRPr="00920905" w:rsidRDefault="00190E54" w:rsidP="00920905">
            <w:pPr>
              <w:rPr>
                <w:rFonts w:cs="Arial"/>
                <w:szCs w:val="20"/>
              </w:rPr>
            </w:pPr>
            <w:r w:rsidRPr="00920905">
              <w:rPr>
                <w:rFonts w:cs="Arial"/>
                <w:szCs w:val="20"/>
              </w:rPr>
              <w:t xml:space="preserve">DEER </w:t>
            </w:r>
            <w:r w:rsidRPr="00500C4E">
              <w:rPr>
                <w:rFonts w:cs="Arial"/>
                <w:szCs w:val="20"/>
              </w:rPr>
              <w:t>eQUEST P</w:t>
            </w:r>
            <w:r w:rsidRPr="00920905">
              <w:rPr>
                <w:rFonts w:cs="Arial"/>
                <w:szCs w:val="20"/>
              </w:rPr>
              <w:t>rototype</w:t>
            </w:r>
            <w:r w:rsidRPr="00500C4E">
              <w:rPr>
                <w:rFonts w:cs="Arial"/>
                <w:szCs w:val="20"/>
              </w:rPr>
              <w:t>s</w:t>
            </w:r>
          </w:p>
        </w:tc>
        <w:tc>
          <w:tcPr>
            <w:tcW w:w="3452" w:type="pct"/>
          </w:tcPr>
          <w:p w:rsidR="00190E54" w:rsidRPr="00B00FC0" w:rsidDel="00505CEC" w:rsidRDefault="00190E54" w:rsidP="00DA5D77">
            <w:pPr>
              <w:rPr>
                <w:rFonts w:cs="Arial"/>
                <w:szCs w:val="20"/>
              </w:rPr>
            </w:pPr>
            <w:r w:rsidRPr="00B00FC0">
              <w:rPr>
                <w:rFonts w:cs="Arial"/>
                <w:szCs w:val="20"/>
              </w:rPr>
              <w:t>Yes</w:t>
            </w:r>
          </w:p>
        </w:tc>
      </w:tr>
      <w:tr w:rsidR="00190E54" w:rsidRPr="00500C4E" w:rsidTr="00920905">
        <w:trPr>
          <w:trHeight w:val="20"/>
        </w:trPr>
        <w:tc>
          <w:tcPr>
            <w:tcW w:w="1548" w:type="pct"/>
          </w:tcPr>
          <w:p w:rsidR="00190E54" w:rsidRPr="00500C4E" w:rsidRDefault="00190E54" w:rsidP="00175D14">
            <w:pPr>
              <w:rPr>
                <w:rFonts w:cs="Arial"/>
                <w:szCs w:val="20"/>
              </w:rPr>
            </w:pPr>
            <w:r w:rsidRPr="00500C4E">
              <w:rPr>
                <w:rFonts w:cs="Arial"/>
                <w:szCs w:val="20"/>
              </w:rPr>
              <w:t>DEER Version</w:t>
            </w:r>
          </w:p>
        </w:tc>
        <w:tc>
          <w:tcPr>
            <w:tcW w:w="3452" w:type="pct"/>
          </w:tcPr>
          <w:p w:rsidR="00190E54" w:rsidRPr="00B00FC0" w:rsidRDefault="00190E54" w:rsidP="00DA5D77">
            <w:pPr>
              <w:rPr>
                <w:rFonts w:cs="Arial"/>
                <w:szCs w:val="20"/>
              </w:rPr>
            </w:pPr>
            <w:r w:rsidRPr="00B00FC0">
              <w:rPr>
                <w:rFonts w:cstheme="minorHAnsi"/>
                <w:szCs w:val="20"/>
              </w:rPr>
              <w:t>DEER 2014</w:t>
            </w:r>
          </w:p>
        </w:tc>
      </w:tr>
      <w:tr w:rsidR="00190E54" w:rsidRPr="00500C4E" w:rsidTr="00920905">
        <w:trPr>
          <w:trHeight w:val="20"/>
        </w:trPr>
        <w:tc>
          <w:tcPr>
            <w:tcW w:w="1548" w:type="pct"/>
          </w:tcPr>
          <w:p w:rsidR="00190E54" w:rsidRPr="00920905" w:rsidRDefault="00190E54" w:rsidP="00920905">
            <w:pPr>
              <w:rPr>
                <w:rFonts w:cs="Arial"/>
                <w:szCs w:val="20"/>
              </w:rPr>
            </w:pPr>
            <w:r w:rsidRPr="00920905">
              <w:rPr>
                <w:rFonts w:cs="Arial"/>
                <w:szCs w:val="20"/>
              </w:rPr>
              <w:t>Reason for Deviation from DEER</w:t>
            </w:r>
          </w:p>
        </w:tc>
        <w:tc>
          <w:tcPr>
            <w:tcW w:w="3452" w:type="pct"/>
          </w:tcPr>
          <w:p w:rsidR="00190E54" w:rsidRPr="00B00FC0" w:rsidRDefault="00190E54" w:rsidP="00DA5D77">
            <w:pPr>
              <w:rPr>
                <w:rFonts w:cs="Arial"/>
                <w:szCs w:val="20"/>
              </w:rPr>
            </w:pPr>
            <w:r w:rsidRPr="00B00FC0">
              <w:rPr>
                <w:rFonts w:cstheme="minorHAnsi"/>
                <w:szCs w:val="20"/>
              </w:rPr>
              <w:t>Change in unit from “100 sq ft” to “Square Foot”</w:t>
            </w:r>
          </w:p>
        </w:tc>
      </w:tr>
      <w:tr w:rsidR="00190E54" w:rsidRPr="00500C4E" w:rsidTr="00920905">
        <w:trPr>
          <w:trHeight w:val="20"/>
        </w:trPr>
        <w:tc>
          <w:tcPr>
            <w:tcW w:w="1548" w:type="pct"/>
          </w:tcPr>
          <w:p w:rsidR="00190E54" w:rsidRPr="00920905" w:rsidRDefault="00190E54" w:rsidP="00920905">
            <w:pPr>
              <w:rPr>
                <w:rFonts w:cs="Arial"/>
                <w:szCs w:val="20"/>
              </w:rPr>
            </w:pPr>
            <w:r w:rsidRPr="00920905">
              <w:rPr>
                <w:rFonts w:cs="Arial"/>
                <w:szCs w:val="20"/>
              </w:rPr>
              <w:t xml:space="preserve">DEER </w:t>
            </w:r>
            <w:r w:rsidRPr="00500C4E">
              <w:rPr>
                <w:rFonts w:cs="Arial"/>
                <w:szCs w:val="20"/>
              </w:rPr>
              <w:t xml:space="preserve">Measure </w:t>
            </w:r>
            <w:r w:rsidRPr="00920905">
              <w:rPr>
                <w:rFonts w:cs="Arial"/>
                <w:szCs w:val="20"/>
              </w:rPr>
              <w:t>ID</w:t>
            </w:r>
            <w:r w:rsidRPr="00500C4E">
              <w:rPr>
                <w:rFonts w:cs="Arial"/>
                <w:szCs w:val="20"/>
              </w:rPr>
              <w:t>s Used</w:t>
            </w:r>
          </w:p>
        </w:tc>
        <w:tc>
          <w:tcPr>
            <w:tcW w:w="3452" w:type="pct"/>
          </w:tcPr>
          <w:p w:rsidR="00190E54" w:rsidRPr="00B00FC0" w:rsidRDefault="00190E54" w:rsidP="00DA5D77">
            <w:pPr>
              <w:rPr>
                <w:rFonts w:cs="Arial"/>
                <w:szCs w:val="20"/>
              </w:rPr>
            </w:pPr>
            <w:r w:rsidRPr="00B00FC0">
              <w:rPr>
                <w:rFonts w:cs="Arial"/>
                <w:szCs w:val="20"/>
              </w:rPr>
              <w:t>N/A</w:t>
            </w:r>
          </w:p>
        </w:tc>
      </w:tr>
    </w:tbl>
    <w:p w:rsidR="00472250" w:rsidRPr="00500C4E" w:rsidRDefault="00472250" w:rsidP="00920905">
      <w:pPr>
        <w:pStyle w:val="Caption"/>
        <w:keepNext/>
        <w:rPr>
          <w:rFonts w:cstheme="minorHAnsi"/>
          <w:b w:val="0"/>
          <w:i/>
          <w:szCs w:val="22"/>
        </w:rPr>
      </w:pPr>
    </w:p>
    <w:p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rsidR="000968C6"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p w:rsidR="00E16D34" w:rsidRPr="00920905" w:rsidRDefault="00E16D34" w:rsidP="00920905">
      <w:pPr>
        <w:pStyle w:val="NoSpacing"/>
      </w:pPr>
    </w:p>
    <w:tbl>
      <w:tblPr>
        <w:tblStyle w:val="TableGrid1"/>
        <w:tblW w:w="5000" w:type="pct"/>
        <w:tblLayout w:type="fixed"/>
        <w:tblLook w:val="01E0" w:firstRow="1" w:lastRow="1" w:firstColumn="1" w:lastColumn="1" w:noHBand="0" w:noVBand="0"/>
      </w:tblPr>
      <w:tblGrid>
        <w:gridCol w:w="1289"/>
        <w:gridCol w:w="3867"/>
        <w:gridCol w:w="831"/>
        <w:gridCol w:w="1013"/>
        <w:gridCol w:w="1752"/>
        <w:gridCol w:w="824"/>
      </w:tblGrid>
      <w:tr w:rsidR="005F69D5" w:rsidRPr="00500C4E" w:rsidTr="00920905">
        <w:tc>
          <w:tcPr>
            <w:tcW w:w="673" w:type="pct"/>
            <w:shd w:val="clear" w:color="auto" w:fill="D9D9D9" w:themeFill="background1" w:themeFillShade="D9"/>
          </w:tcPr>
          <w:p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rsidR="000968C6" w:rsidRPr="00920905" w:rsidRDefault="00FB2590" w:rsidP="005729C8">
            <w:pPr>
              <w:rPr>
                <w:rFonts w:cstheme="minorHAnsi"/>
                <w:b/>
                <w:szCs w:val="20"/>
              </w:rPr>
            </w:pPr>
            <w:r w:rsidRPr="00920905">
              <w:rPr>
                <w:rFonts w:cstheme="minorHAnsi"/>
                <w:b/>
                <w:szCs w:val="20"/>
              </w:rPr>
              <w:t>BldgType</w:t>
            </w:r>
          </w:p>
        </w:tc>
        <w:tc>
          <w:tcPr>
            <w:tcW w:w="915" w:type="pct"/>
            <w:shd w:val="clear" w:color="auto" w:fill="D9D9D9" w:themeFill="background1" w:themeFillShade="D9"/>
          </w:tcPr>
          <w:p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5F69D5" w:rsidRPr="00500C4E" w:rsidTr="00322982">
        <w:tc>
          <w:tcPr>
            <w:tcW w:w="673" w:type="pct"/>
          </w:tcPr>
          <w:p w:rsidR="00907697" w:rsidRPr="00B40D5A" w:rsidRDefault="00907697" w:rsidP="005729C8">
            <w:pPr>
              <w:rPr>
                <w:szCs w:val="20"/>
              </w:rPr>
            </w:pPr>
            <w:r w:rsidRPr="00B40D5A">
              <w:rPr>
                <w:szCs w:val="20"/>
              </w:rPr>
              <w:t>Res-Default&gt;2</w:t>
            </w:r>
          </w:p>
        </w:tc>
        <w:tc>
          <w:tcPr>
            <w:tcW w:w="2019" w:type="pct"/>
          </w:tcPr>
          <w:p w:rsidR="00907697" w:rsidRPr="00B40D5A" w:rsidRDefault="00907697" w:rsidP="005729C8">
            <w:pPr>
              <w:rPr>
                <w:szCs w:val="20"/>
              </w:rPr>
            </w:pPr>
            <w:r w:rsidRPr="00B40D5A">
              <w:rPr>
                <w:szCs w:val="20"/>
              </w:rPr>
              <w:t>All other EEM with no evaluated NTGR; existing EEM with same delivery mechanism for more than 2 years</w:t>
            </w:r>
          </w:p>
        </w:tc>
        <w:tc>
          <w:tcPr>
            <w:tcW w:w="434" w:type="pct"/>
            <w:vAlign w:val="center"/>
          </w:tcPr>
          <w:p w:rsidR="00907697" w:rsidRPr="00B40D5A" w:rsidRDefault="00907697" w:rsidP="00322982">
            <w:pPr>
              <w:jc w:val="center"/>
              <w:rPr>
                <w:szCs w:val="20"/>
              </w:rPr>
            </w:pPr>
            <w:r w:rsidRPr="00B40D5A">
              <w:rPr>
                <w:szCs w:val="20"/>
              </w:rPr>
              <w:t>Res</w:t>
            </w:r>
          </w:p>
        </w:tc>
        <w:tc>
          <w:tcPr>
            <w:tcW w:w="529" w:type="pct"/>
            <w:vAlign w:val="center"/>
          </w:tcPr>
          <w:p w:rsidR="00907697" w:rsidRPr="00B40D5A" w:rsidRDefault="00907697" w:rsidP="00322982">
            <w:pPr>
              <w:jc w:val="center"/>
              <w:rPr>
                <w:szCs w:val="20"/>
              </w:rPr>
            </w:pPr>
            <w:r w:rsidRPr="00B40D5A">
              <w:rPr>
                <w:szCs w:val="20"/>
              </w:rPr>
              <w:t>Any</w:t>
            </w:r>
          </w:p>
        </w:tc>
        <w:tc>
          <w:tcPr>
            <w:tcW w:w="915" w:type="pct"/>
            <w:vAlign w:val="center"/>
          </w:tcPr>
          <w:p w:rsidR="00907697" w:rsidRPr="00B40D5A" w:rsidRDefault="00907697" w:rsidP="00322982">
            <w:pPr>
              <w:jc w:val="center"/>
              <w:rPr>
                <w:szCs w:val="20"/>
              </w:rPr>
            </w:pPr>
            <w:r w:rsidRPr="00B40D5A">
              <w:rPr>
                <w:szCs w:val="20"/>
              </w:rPr>
              <w:t>Any</w:t>
            </w:r>
          </w:p>
        </w:tc>
        <w:tc>
          <w:tcPr>
            <w:tcW w:w="430" w:type="pct"/>
            <w:vAlign w:val="center"/>
          </w:tcPr>
          <w:p w:rsidR="00907697" w:rsidRPr="00B40D5A" w:rsidRDefault="00907697" w:rsidP="00322982">
            <w:pPr>
              <w:jc w:val="center"/>
              <w:rPr>
                <w:szCs w:val="20"/>
              </w:rPr>
            </w:pPr>
            <w:r w:rsidRPr="00B40D5A">
              <w:rPr>
                <w:szCs w:val="20"/>
              </w:rPr>
              <w:t>0.55</w:t>
            </w:r>
          </w:p>
        </w:tc>
      </w:tr>
    </w:tbl>
    <w:p w:rsidR="000968C6" w:rsidRDefault="00FB2590" w:rsidP="000968C6">
      <w:pPr>
        <w:pStyle w:val="Reminders"/>
        <w:rPr>
          <w:rFonts w:asciiTheme="minorHAnsi" w:hAnsiTheme="minorHAnsi" w:cstheme="minorHAnsi"/>
          <w:i w:val="0"/>
          <w:sz w:val="20"/>
          <w:szCs w:val="20"/>
        </w:rPr>
      </w:pPr>
      <w:r w:rsidRPr="00B40D5A">
        <w:rPr>
          <w:rFonts w:asciiTheme="minorHAnsi" w:hAnsiTheme="minorHAnsi" w:cstheme="minorHAnsi"/>
          <w:i w:val="0"/>
          <w:color w:val="auto"/>
          <w:sz w:val="20"/>
          <w:szCs w:val="20"/>
        </w:rPr>
        <w:t>Note: Direct install measures that are not hard-to-reach will use the default NTG value.</w:t>
      </w:r>
    </w:p>
    <w:p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lastRenderedPageBreak/>
        <w:t>Spillage Rate</w:t>
      </w:r>
    </w:p>
    <w:p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rsidR="003003EC" w:rsidRPr="00500C4E" w:rsidRDefault="003003EC" w:rsidP="000968C6">
      <w:pPr>
        <w:pStyle w:val="Reminders"/>
        <w:rPr>
          <w:rFonts w:asciiTheme="minorHAnsi" w:hAnsiTheme="minorHAnsi" w:cstheme="minorHAnsi"/>
          <w:i w:val="0"/>
          <w:color w:val="auto"/>
          <w:szCs w:val="22"/>
        </w:rPr>
      </w:pPr>
    </w:p>
    <w:p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87393E" w:rsidTr="00920905">
        <w:tc>
          <w:tcPr>
            <w:tcW w:w="722" w:type="pct"/>
            <w:shd w:val="clear" w:color="auto" w:fill="D9D9D9" w:themeFill="background1" w:themeFillShade="D9"/>
          </w:tcPr>
          <w:p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rsidR="006B4A48" w:rsidRPr="00920905" w:rsidRDefault="00FB2590" w:rsidP="005729C8">
            <w:pPr>
              <w:rPr>
                <w:rFonts w:cstheme="minorHAnsi"/>
                <w:b/>
                <w:szCs w:val="20"/>
              </w:rPr>
            </w:pPr>
            <w:r w:rsidRPr="00920905">
              <w:rPr>
                <w:rFonts w:cstheme="minorHAnsi"/>
                <w:b/>
                <w:szCs w:val="20"/>
              </w:rPr>
              <w:t>BldgType</w:t>
            </w:r>
          </w:p>
        </w:tc>
        <w:tc>
          <w:tcPr>
            <w:tcW w:w="693" w:type="pct"/>
            <w:shd w:val="clear" w:color="auto" w:fill="D9D9D9" w:themeFill="background1" w:themeFillShade="D9"/>
          </w:tcPr>
          <w:p w:rsidR="006B4A48" w:rsidRPr="00920905" w:rsidRDefault="006B4A48" w:rsidP="005729C8">
            <w:pPr>
              <w:rPr>
                <w:rFonts w:cstheme="minorHAnsi"/>
                <w:b/>
                <w:szCs w:val="20"/>
              </w:rPr>
            </w:pPr>
            <w:r w:rsidRPr="00920905">
              <w:rPr>
                <w:rFonts w:cstheme="minorHAnsi"/>
                <w:b/>
                <w:szCs w:val="20"/>
              </w:rPr>
              <w:t>ProgDelivID</w:t>
            </w:r>
          </w:p>
        </w:tc>
        <w:tc>
          <w:tcPr>
            <w:tcW w:w="634" w:type="pct"/>
            <w:shd w:val="clear" w:color="auto" w:fill="D9D9D9" w:themeFill="background1" w:themeFillShade="D9"/>
          </w:tcPr>
          <w:p w:rsidR="006B4A48" w:rsidRPr="00920905" w:rsidRDefault="00FB2590" w:rsidP="005729C8">
            <w:pPr>
              <w:rPr>
                <w:rFonts w:cstheme="minorHAnsi"/>
                <w:b/>
                <w:szCs w:val="20"/>
              </w:rPr>
            </w:pPr>
            <w:r w:rsidRPr="00920905">
              <w:rPr>
                <w:rFonts w:cstheme="minorHAnsi"/>
                <w:b/>
                <w:szCs w:val="20"/>
              </w:rPr>
              <w:t>GSIAValue</w:t>
            </w:r>
          </w:p>
        </w:tc>
      </w:tr>
      <w:tr w:rsidR="002F4E34" w:rsidRPr="00500C4E" w:rsidTr="00322982">
        <w:tc>
          <w:tcPr>
            <w:tcW w:w="722" w:type="pct"/>
          </w:tcPr>
          <w:p w:rsidR="002F4E34" w:rsidRPr="00B40D5A" w:rsidRDefault="002F4E34" w:rsidP="005729C8">
            <w:pPr>
              <w:rPr>
                <w:szCs w:val="20"/>
              </w:rPr>
            </w:pPr>
            <w:r w:rsidRPr="00B40D5A">
              <w:rPr>
                <w:szCs w:val="20"/>
              </w:rPr>
              <w:t>Def-GSIA</w:t>
            </w:r>
          </w:p>
        </w:tc>
        <w:tc>
          <w:tcPr>
            <w:tcW w:w="1404" w:type="pct"/>
          </w:tcPr>
          <w:p w:rsidR="002F4E34" w:rsidRPr="00B40D5A" w:rsidRDefault="002F4E34" w:rsidP="005729C8">
            <w:pPr>
              <w:rPr>
                <w:szCs w:val="20"/>
              </w:rPr>
            </w:pPr>
            <w:r w:rsidRPr="00B40D5A">
              <w:rPr>
                <w:szCs w:val="20"/>
              </w:rPr>
              <w:t>Default GSIA values</w:t>
            </w:r>
          </w:p>
        </w:tc>
        <w:tc>
          <w:tcPr>
            <w:tcW w:w="688" w:type="pct"/>
            <w:vAlign w:val="center"/>
          </w:tcPr>
          <w:p w:rsidR="002F4E34" w:rsidRPr="00B40D5A" w:rsidRDefault="002F4E34" w:rsidP="00322982">
            <w:pPr>
              <w:jc w:val="center"/>
              <w:rPr>
                <w:szCs w:val="20"/>
              </w:rPr>
            </w:pPr>
            <w:r w:rsidRPr="00B40D5A">
              <w:rPr>
                <w:szCs w:val="20"/>
              </w:rPr>
              <w:t>Any</w:t>
            </w:r>
          </w:p>
        </w:tc>
        <w:tc>
          <w:tcPr>
            <w:tcW w:w="858" w:type="pct"/>
            <w:vAlign w:val="center"/>
          </w:tcPr>
          <w:p w:rsidR="002F4E34" w:rsidRPr="00B40D5A" w:rsidRDefault="002F4E34" w:rsidP="00322982">
            <w:pPr>
              <w:jc w:val="center"/>
              <w:rPr>
                <w:szCs w:val="20"/>
              </w:rPr>
            </w:pPr>
            <w:r w:rsidRPr="00B40D5A">
              <w:rPr>
                <w:szCs w:val="20"/>
              </w:rPr>
              <w:t>Any</w:t>
            </w:r>
          </w:p>
        </w:tc>
        <w:tc>
          <w:tcPr>
            <w:tcW w:w="693" w:type="pct"/>
            <w:vAlign w:val="center"/>
          </w:tcPr>
          <w:p w:rsidR="002F4E34" w:rsidRPr="00B40D5A" w:rsidRDefault="002F4E34" w:rsidP="00322982">
            <w:pPr>
              <w:jc w:val="center"/>
              <w:rPr>
                <w:szCs w:val="20"/>
              </w:rPr>
            </w:pPr>
            <w:r w:rsidRPr="00B40D5A">
              <w:rPr>
                <w:szCs w:val="20"/>
              </w:rPr>
              <w:t>Any</w:t>
            </w:r>
          </w:p>
        </w:tc>
        <w:tc>
          <w:tcPr>
            <w:tcW w:w="634" w:type="pct"/>
            <w:vAlign w:val="center"/>
          </w:tcPr>
          <w:p w:rsidR="002F4E34" w:rsidRPr="00B40D5A" w:rsidRDefault="002F4E34" w:rsidP="00322982">
            <w:pPr>
              <w:jc w:val="center"/>
              <w:rPr>
                <w:szCs w:val="20"/>
              </w:rPr>
            </w:pPr>
            <w:r w:rsidRPr="00B40D5A">
              <w:rPr>
                <w:szCs w:val="20"/>
              </w:rPr>
              <w:t>1</w:t>
            </w:r>
          </w:p>
        </w:tc>
      </w:tr>
    </w:tbl>
    <w:p w:rsidR="006B4A48" w:rsidRPr="00B05647" w:rsidRDefault="006B4A48" w:rsidP="000968C6">
      <w:pPr>
        <w:pStyle w:val="Reminders"/>
        <w:rPr>
          <w:rFonts w:asciiTheme="minorHAnsi" w:hAnsiTheme="minorHAnsi" w:cstheme="minorHAnsi"/>
          <w:b/>
          <w:i w:val="0"/>
          <w:color w:val="auto"/>
          <w:szCs w:val="22"/>
        </w:rPr>
      </w:pPr>
    </w:p>
    <w:p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rsidR="008B1357" w:rsidRPr="00920905" w:rsidRDefault="006A6D15" w:rsidP="00920905">
      <w:pPr>
        <w:pStyle w:val="NoSpacing"/>
      </w:pPr>
      <w:r w:rsidRPr="0087393E">
        <w:t xml:space="preserve">The EUL and RUL values were obtained </w:t>
      </w:r>
      <w:r w:rsidR="00BC6524" w:rsidRPr="0087393E">
        <w:t>using the DEER READI tool</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p>
    <w:tbl>
      <w:tblPr>
        <w:tblStyle w:val="TableGrid1"/>
        <w:tblW w:w="5000" w:type="pct"/>
        <w:tblLook w:val="04A0" w:firstRow="1" w:lastRow="0" w:firstColumn="1" w:lastColumn="0" w:noHBand="0" w:noVBand="1"/>
      </w:tblPr>
      <w:tblGrid>
        <w:gridCol w:w="1578"/>
        <w:gridCol w:w="2750"/>
        <w:gridCol w:w="908"/>
        <w:gridCol w:w="1295"/>
        <w:gridCol w:w="1557"/>
        <w:gridCol w:w="1488"/>
      </w:tblGrid>
      <w:tr w:rsidR="008B1357" w:rsidRPr="00500C4E" w:rsidTr="00920905">
        <w:tc>
          <w:tcPr>
            <w:tcW w:w="824" w:type="pct"/>
            <w:shd w:val="clear" w:color="auto" w:fill="D9D9D9" w:themeFill="background1" w:themeFillShade="D9"/>
          </w:tcPr>
          <w:p w:rsidR="008B1357" w:rsidRPr="00920905" w:rsidRDefault="008B1357" w:rsidP="00BA2E7E">
            <w:pPr>
              <w:rPr>
                <w:rFonts w:cstheme="minorHAnsi"/>
                <w:b/>
                <w:szCs w:val="20"/>
              </w:rPr>
            </w:pPr>
            <w:r w:rsidRPr="00920905">
              <w:rPr>
                <w:rFonts w:cstheme="minorHAnsi"/>
                <w:b/>
                <w:szCs w:val="20"/>
              </w:rPr>
              <w:t>EUL ID</w:t>
            </w:r>
          </w:p>
        </w:tc>
        <w:tc>
          <w:tcPr>
            <w:tcW w:w="1436" w:type="pct"/>
            <w:shd w:val="clear" w:color="auto" w:fill="D9D9D9" w:themeFill="background1" w:themeFillShade="D9"/>
          </w:tcPr>
          <w:p w:rsidR="008B1357" w:rsidRPr="00920905" w:rsidRDefault="008B1357" w:rsidP="00BA2E7E">
            <w:pPr>
              <w:rPr>
                <w:rFonts w:cstheme="minorHAnsi"/>
                <w:b/>
                <w:szCs w:val="20"/>
              </w:rPr>
            </w:pPr>
            <w:r w:rsidRPr="00920905">
              <w:rPr>
                <w:rFonts w:cstheme="minorHAnsi"/>
                <w:b/>
                <w:szCs w:val="20"/>
              </w:rPr>
              <w:t>Description</w:t>
            </w:r>
          </w:p>
        </w:tc>
        <w:tc>
          <w:tcPr>
            <w:tcW w:w="474" w:type="pct"/>
            <w:shd w:val="clear" w:color="auto" w:fill="D9D9D9" w:themeFill="background1" w:themeFillShade="D9"/>
          </w:tcPr>
          <w:p w:rsidR="008B1357" w:rsidRPr="00920905" w:rsidRDefault="008B1357" w:rsidP="00BA2E7E">
            <w:pPr>
              <w:rPr>
                <w:rFonts w:cstheme="minorHAnsi"/>
                <w:b/>
                <w:szCs w:val="20"/>
              </w:rPr>
            </w:pPr>
            <w:r w:rsidRPr="00920905">
              <w:rPr>
                <w:rFonts w:cstheme="minorHAnsi"/>
                <w:b/>
                <w:szCs w:val="20"/>
              </w:rPr>
              <w:t>Sector</w:t>
            </w:r>
          </w:p>
        </w:tc>
        <w:tc>
          <w:tcPr>
            <w:tcW w:w="676" w:type="pct"/>
            <w:shd w:val="clear" w:color="auto" w:fill="D9D9D9" w:themeFill="background1" w:themeFillShade="D9"/>
          </w:tcPr>
          <w:p w:rsidR="008B1357" w:rsidRPr="00920905" w:rsidRDefault="00BA2E7E" w:rsidP="00BA2E7E">
            <w:pPr>
              <w:rPr>
                <w:rFonts w:cstheme="minorHAnsi"/>
                <w:b/>
                <w:szCs w:val="20"/>
              </w:rPr>
            </w:pPr>
            <w:r w:rsidRPr="00920905">
              <w:rPr>
                <w:rFonts w:cstheme="minorHAnsi"/>
                <w:b/>
                <w:szCs w:val="20"/>
              </w:rPr>
              <w:t>UseCategory</w:t>
            </w:r>
          </w:p>
        </w:tc>
        <w:tc>
          <w:tcPr>
            <w:tcW w:w="813" w:type="pct"/>
            <w:shd w:val="clear" w:color="auto" w:fill="D9D9D9" w:themeFill="background1" w:themeFillShade="D9"/>
          </w:tcPr>
          <w:p w:rsidR="008B1357" w:rsidRPr="00920905" w:rsidRDefault="008B1357" w:rsidP="00BA2E7E">
            <w:pPr>
              <w:rPr>
                <w:rFonts w:cstheme="minorHAnsi"/>
                <w:b/>
                <w:szCs w:val="20"/>
              </w:rPr>
            </w:pPr>
            <w:r w:rsidRPr="00920905">
              <w:rPr>
                <w:rFonts w:cstheme="minorHAnsi"/>
                <w:b/>
                <w:szCs w:val="20"/>
              </w:rPr>
              <w:t>EUL (Years)</w:t>
            </w:r>
          </w:p>
        </w:tc>
        <w:tc>
          <w:tcPr>
            <w:tcW w:w="777" w:type="pct"/>
            <w:shd w:val="clear" w:color="auto" w:fill="D9D9D9" w:themeFill="background1" w:themeFillShade="D9"/>
          </w:tcPr>
          <w:p w:rsidR="008B1357" w:rsidRPr="00920905" w:rsidRDefault="008B1357" w:rsidP="00BA2E7E">
            <w:pPr>
              <w:rPr>
                <w:rFonts w:cstheme="minorHAnsi"/>
                <w:b/>
                <w:szCs w:val="20"/>
              </w:rPr>
            </w:pPr>
            <w:r w:rsidRPr="00920905">
              <w:rPr>
                <w:rFonts w:cstheme="minorHAnsi"/>
                <w:b/>
                <w:szCs w:val="20"/>
              </w:rPr>
              <w:t>RUL (Years)</w:t>
            </w:r>
          </w:p>
        </w:tc>
      </w:tr>
      <w:tr w:rsidR="00190E54" w:rsidRPr="00500C4E" w:rsidTr="00322982">
        <w:trPr>
          <w:trHeight w:val="243"/>
        </w:trPr>
        <w:tc>
          <w:tcPr>
            <w:tcW w:w="824" w:type="pct"/>
          </w:tcPr>
          <w:p w:rsidR="00190E54" w:rsidRPr="00B00FC0" w:rsidRDefault="00190E54" w:rsidP="00DA5D77">
            <w:pPr>
              <w:rPr>
                <w:szCs w:val="20"/>
              </w:rPr>
            </w:pPr>
            <w:r w:rsidRPr="00B00FC0">
              <w:rPr>
                <w:szCs w:val="20"/>
              </w:rPr>
              <w:t>BS-Win</w:t>
            </w:r>
          </w:p>
        </w:tc>
        <w:tc>
          <w:tcPr>
            <w:tcW w:w="1436" w:type="pct"/>
          </w:tcPr>
          <w:p w:rsidR="00190E54" w:rsidRPr="00B00FC0" w:rsidRDefault="00190E54" w:rsidP="00DA5D77">
            <w:pPr>
              <w:rPr>
                <w:szCs w:val="20"/>
              </w:rPr>
            </w:pPr>
            <w:r w:rsidRPr="00B00FC0">
              <w:rPr>
                <w:szCs w:val="20"/>
              </w:rPr>
              <w:t>High Performance Windows</w:t>
            </w:r>
          </w:p>
        </w:tc>
        <w:tc>
          <w:tcPr>
            <w:tcW w:w="474" w:type="pct"/>
            <w:vAlign w:val="center"/>
          </w:tcPr>
          <w:p w:rsidR="00190E54" w:rsidRPr="00B00FC0" w:rsidRDefault="00190E54" w:rsidP="00322982">
            <w:pPr>
              <w:jc w:val="center"/>
              <w:rPr>
                <w:szCs w:val="20"/>
              </w:rPr>
            </w:pPr>
            <w:r w:rsidRPr="00B00FC0">
              <w:rPr>
                <w:szCs w:val="20"/>
              </w:rPr>
              <w:t>Res</w:t>
            </w:r>
          </w:p>
        </w:tc>
        <w:tc>
          <w:tcPr>
            <w:tcW w:w="676" w:type="pct"/>
            <w:vAlign w:val="center"/>
          </w:tcPr>
          <w:p w:rsidR="00190E54" w:rsidRPr="00B00FC0" w:rsidRDefault="00190E54" w:rsidP="00322982">
            <w:pPr>
              <w:jc w:val="center"/>
              <w:rPr>
                <w:szCs w:val="20"/>
              </w:rPr>
            </w:pPr>
            <w:r w:rsidRPr="00B00FC0">
              <w:rPr>
                <w:szCs w:val="20"/>
              </w:rPr>
              <w:t>BldgEnv</w:t>
            </w:r>
          </w:p>
        </w:tc>
        <w:tc>
          <w:tcPr>
            <w:tcW w:w="813" w:type="pct"/>
            <w:vAlign w:val="center"/>
          </w:tcPr>
          <w:p w:rsidR="00190E54" w:rsidRPr="00B00FC0" w:rsidRDefault="00190E54" w:rsidP="00322982">
            <w:pPr>
              <w:jc w:val="center"/>
              <w:rPr>
                <w:szCs w:val="20"/>
              </w:rPr>
            </w:pPr>
            <w:r w:rsidRPr="00B00FC0">
              <w:rPr>
                <w:szCs w:val="20"/>
              </w:rPr>
              <w:t>20</w:t>
            </w:r>
          </w:p>
        </w:tc>
        <w:tc>
          <w:tcPr>
            <w:tcW w:w="777" w:type="pct"/>
            <w:vAlign w:val="center"/>
          </w:tcPr>
          <w:p w:rsidR="00190E54" w:rsidRPr="00B00FC0" w:rsidRDefault="00190E54" w:rsidP="00322982">
            <w:pPr>
              <w:jc w:val="center"/>
              <w:rPr>
                <w:szCs w:val="20"/>
              </w:rPr>
            </w:pPr>
            <w:r w:rsidRPr="00B00FC0">
              <w:rPr>
                <w:szCs w:val="20"/>
              </w:rPr>
              <w:t>6.7</w:t>
            </w:r>
          </w:p>
        </w:tc>
      </w:tr>
    </w:tbl>
    <w:p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1"/>
    </w:p>
    <w:p w:rsidR="00425496" w:rsidRDefault="00425496" w:rsidP="00190E54">
      <w:pPr>
        <w:rPr>
          <w:rFonts w:cstheme="minorHAnsi"/>
          <w:szCs w:val="22"/>
        </w:rPr>
      </w:pPr>
      <w:r>
        <w:rPr>
          <w:rFonts w:cstheme="minorHAnsi"/>
          <w:szCs w:val="22"/>
        </w:rPr>
        <w:t>Manufactured home construction is governed by Federal code under the Housing and Urban Development</w:t>
      </w:r>
      <w:r w:rsidRPr="00425496">
        <w:rPr>
          <w:rFonts w:cstheme="minorHAnsi"/>
          <w:szCs w:val="22"/>
        </w:rPr>
        <w:t xml:space="preserve"> </w:t>
      </w:r>
      <w:r>
        <w:rPr>
          <w:rFonts w:cstheme="minorHAnsi"/>
          <w:szCs w:val="22"/>
        </w:rPr>
        <w:t xml:space="preserve">(HUD) </w:t>
      </w:r>
      <w:r w:rsidRPr="00425496">
        <w:rPr>
          <w:rFonts w:cstheme="minorHAnsi"/>
          <w:szCs w:val="22"/>
        </w:rPr>
        <w:t>24 CFR Part 3280_2008.</w:t>
      </w:r>
      <w:r>
        <w:rPr>
          <w:rFonts w:cstheme="minorHAnsi"/>
          <w:szCs w:val="22"/>
        </w:rPr>
        <w:t xml:space="preserve"> The Federal code requires a total </w:t>
      </w:r>
      <w:r w:rsidR="006C215C">
        <w:rPr>
          <w:rFonts w:cstheme="minorHAnsi"/>
          <w:szCs w:val="22"/>
        </w:rPr>
        <w:t xml:space="preserve">building </w:t>
      </w:r>
      <w:r>
        <w:rPr>
          <w:rFonts w:cstheme="minorHAnsi"/>
          <w:szCs w:val="22"/>
        </w:rPr>
        <w:t xml:space="preserve">envelope U-factor for a manufactured home by climate zone.  The DEER team developed the default </w:t>
      </w:r>
      <w:r w:rsidR="006C215C">
        <w:rPr>
          <w:rFonts w:cstheme="minorHAnsi"/>
          <w:szCs w:val="22"/>
        </w:rPr>
        <w:t xml:space="preserve">double-wide mobile home prototype to meet the Federal code requirements. The resulting prototype home has glazing with an area weighted average U-factor of 0.55 and a SHGC of 0.65, Glass Type Code 2610 in the DOE-2 glass library. </w:t>
      </w:r>
    </w:p>
    <w:p w:rsidR="00425496" w:rsidRDefault="00425496" w:rsidP="00190E54">
      <w:pPr>
        <w:rPr>
          <w:rFonts w:cstheme="minorHAnsi"/>
          <w:szCs w:val="22"/>
        </w:rPr>
      </w:pPr>
    </w:p>
    <w:p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881A42" w:rsidRPr="00500C4E" w:rsidTr="00920905">
        <w:tc>
          <w:tcPr>
            <w:tcW w:w="1155" w:type="pct"/>
            <w:shd w:val="clear" w:color="auto" w:fill="D9D9D9" w:themeFill="background1" w:themeFillShade="D9"/>
          </w:tcPr>
          <w:p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190E54" w:rsidRPr="00500C4E" w:rsidTr="00DA5D77">
        <w:trPr>
          <w:trHeight w:val="243"/>
        </w:trPr>
        <w:tc>
          <w:tcPr>
            <w:tcW w:w="1155" w:type="pct"/>
          </w:tcPr>
          <w:p w:rsidR="00190E54" w:rsidRPr="00B00FC0" w:rsidRDefault="006C215C" w:rsidP="00DA5D77">
            <w:pPr>
              <w:rPr>
                <w:rFonts w:cstheme="minorHAnsi"/>
                <w:szCs w:val="20"/>
              </w:rPr>
            </w:pPr>
            <w:r w:rsidRPr="006C215C">
              <w:rPr>
                <w:rFonts w:cstheme="minorHAnsi"/>
                <w:szCs w:val="20"/>
              </w:rPr>
              <w:t>24 CFR Part 3280_2008</w:t>
            </w:r>
          </w:p>
        </w:tc>
        <w:tc>
          <w:tcPr>
            <w:tcW w:w="2711" w:type="pct"/>
            <w:vAlign w:val="center"/>
          </w:tcPr>
          <w:p w:rsidR="00190E54" w:rsidRPr="00B00FC0" w:rsidRDefault="006C215C" w:rsidP="00DA5D77">
            <w:pPr>
              <w:rPr>
                <w:rFonts w:cstheme="minorHAnsi"/>
                <w:szCs w:val="20"/>
              </w:rPr>
            </w:pPr>
            <w:r>
              <w:rPr>
                <w:rFonts w:cstheme="minorHAnsi"/>
                <w:szCs w:val="20"/>
              </w:rPr>
              <w:t xml:space="preserve">HUD </w:t>
            </w:r>
            <w:r w:rsidR="00112BBA">
              <w:rPr>
                <w:rFonts w:cstheme="minorHAnsi"/>
                <w:szCs w:val="20"/>
              </w:rPr>
              <w:t>Energy Efficiency Standards</w:t>
            </w:r>
          </w:p>
        </w:tc>
        <w:tc>
          <w:tcPr>
            <w:tcW w:w="1134" w:type="pct"/>
            <w:vAlign w:val="center"/>
          </w:tcPr>
          <w:p w:rsidR="00190E54" w:rsidRPr="00B00FC0" w:rsidRDefault="00112BBA" w:rsidP="00DA5D77">
            <w:pPr>
              <w:rPr>
                <w:rFonts w:cstheme="minorHAnsi"/>
                <w:szCs w:val="20"/>
              </w:rPr>
            </w:pPr>
            <w:r w:rsidRPr="00112BBA">
              <w:rPr>
                <w:rFonts w:cstheme="minorHAnsi"/>
                <w:szCs w:val="20"/>
              </w:rPr>
              <w:t>October 25, 1994</w:t>
            </w:r>
          </w:p>
        </w:tc>
      </w:tr>
    </w:tbl>
    <w:p w:rsidR="00190E54" w:rsidRPr="00920905" w:rsidRDefault="00572D2F" w:rsidP="00190E54">
      <w:pPr>
        <w:pStyle w:val="Heading2"/>
        <w:rPr>
          <w:rFonts w:cstheme="minorHAnsi"/>
          <w:b w:val="0"/>
          <w:bCs w:val="0"/>
          <w:iCs w:val="0"/>
          <w:smallCaps w:val="0"/>
        </w:rPr>
      </w:pPr>
      <w:bookmarkStart w:id="12" w:name="_Toc304800207"/>
      <w:bookmarkStart w:id="13" w:name="_Toc324318343"/>
      <w:bookmarkStart w:id="14" w:name="_Toc324340487"/>
      <w:bookmarkStart w:id="15" w:name="_Toc383441992"/>
      <w:bookmarkStart w:id="16"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w:t>
      </w:r>
      <w:bookmarkEnd w:id="12"/>
      <w:bookmarkEnd w:id="13"/>
      <w:bookmarkEnd w:id="14"/>
      <w:bookmarkEnd w:id="15"/>
      <w:r w:rsidR="00190E54" w:rsidRPr="00920905">
        <w:rPr>
          <w:rFonts w:asciiTheme="minorHAnsi" w:hAnsiTheme="minorHAnsi" w:cstheme="minorHAnsi"/>
        </w:rPr>
        <w:t>Information</w:t>
      </w:r>
    </w:p>
    <w:p w:rsidR="00190E54" w:rsidRPr="00B00FC0" w:rsidRDefault="00190E54" w:rsidP="00190E54">
      <w:pPr>
        <w:rPr>
          <w:rFonts w:cs="Arial"/>
          <w:szCs w:val="22"/>
        </w:rPr>
      </w:pPr>
      <w:r w:rsidRPr="00B00FC0">
        <w:rPr>
          <w:rFonts w:cs="Arial"/>
          <w:szCs w:val="22"/>
        </w:rPr>
        <w:t>N/A</w:t>
      </w:r>
    </w:p>
    <w:p w:rsidR="00190E54" w:rsidRPr="00B00FC0" w:rsidRDefault="00190E54" w:rsidP="00190E54">
      <w:pPr>
        <w:pStyle w:val="Heading2"/>
        <w:rPr>
          <w:rFonts w:asciiTheme="minorHAnsi" w:hAnsiTheme="minorHAnsi" w:cstheme="minorHAnsi"/>
        </w:rPr>
      </w:pPr>
      <w:r w:rsidRPr="00B00FC0">
        <w:rPr>
          <w:rFonts w:asciiTheme="minorHAnsi" w:hAnsiTheme="minorHAnsi" w:cstheme="minorHAnsi"/>
        </w:rPr>
        <w:t>1.6 Data Quality and Future Data Needs</w:t>
      </w:r>
    </w:p>
    <w:p w:rsidR="00190E54" w:rsidRPr="00B00FC0" w:rsidRDefault="00190E54" w:rsidP="00190E54">
      <w:pPr>
        <w:rPr>
          <w:rFonts w:cs="Arial"/>
          <w:szCs w:val="22"/>
        </w:rPr>
      </w:pPr>
      <w:r w:rsidRPr="00B00FC0">
        <w:rPr>
          <w:rFonts w:cs="Arial"/>
          <w:szCs w:val="22"/>
        </w:rPr>
        <w:t xml:space="preserve">N/A </w:t>
      </w:r>
    </w:p>
    <w:p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8C6EC8">
        <w:rPr>
          <w:rFonts w:cstheme="minorHAnsi"/>
        </w:rPr>
        <w:t>Calculation</w:t>
      </w:r>
      <w:bookmarkEnd w:id="16"/>
      <w:r w:rsidR="00755A45" w:rsidRPr="008C6EC8">
        <w:rPr>
          <w:rFonts w:cstheme="minorHAnsi"/>
        </w:rPr>
        <w:t xml:space="preserve"> Methodology</w:t>
      </w:r>
    </w:p>
    <w:p w:rsidR="00AA315C" w:rsidRPr="00420FCB" w:rsidRDefault="00AA315C" w:rsidP="00AA315C">
      <w:pPr>
        <w:pStyle w:val="Reminders"/>
        <w:rPr>
          <w:rFonts w:asciiTheme="minorHAnsi" w:hAnsiTheme="minorHAnsi" w:cstheme="minorHAnsi"/>
          <w:i w:val="0"/>
          <w:color w:val="auto"/>
          <w:szCs w:val="22"/>
        </w:rPr>
      </w:pPr>
      <w:r w:rsidRPr="00420FCB">
        <w:rPr>
          <w:rFonts w:asciiTheme="minorHAnsi" w:hAnsiTheme="minorHAnsi" w:cstheme="minorHAnsi"/>
          <w:i w:val="0"/>
          <w:color w:val="auto"/>
          <w:szCs w:val="22"/>
        </w:rPr>
        <w:t xml:space="preserve">Energy and demand savings on the measure were estimated using comparative (parametric) runs between the base case and measure case window/glass assemblies using the 2014 DEER Residential </w:t>
      </w:r>
      <w:r w:rsidRPr="00F90EB1">
        <w:rPr>
          <w:rFonts w:asciiTheme="minorHAnsi" w:hAnsiTheme="minorHAnsi" w:cstheme="minorHAnsi"/>
          <w:i w:val="0"/>
          <w:color w:val="auto"/>
          <w:szCs w:val="22"/>
        </w:rPr>
        <w:t xml:space="preserve">double-wide mobile home </w:t>
      </w:r>
      <w:r>
        <w:rPr>
          <w:rFonts w:asciiTheme="minorHAnsi" w:hAnsiTheme="minorHAnsi" w:cstheme="minorHAnsi"/>
          <w:i w:val="0"/>
          <w:color w:val="auto"/>
          <w:szCs w:val="22"/>
        </w:rPr>
        <w:t xml:space="preserve">(DMO) </w:t>
      </w:r>
      <w:r w:rsidRPr="00420FCB">
        <w:rPr>
          <w:rFonts w:asciiTheme="minorHAnsi" w:hAnsiTheme="minorHAnsi" w:cstheme="minorHAnsi"/>
          <w:i w:val="0"/>
          <w:color w:val="auto"/>
          <w:szCs w:val="22"/>
        </w:rPr>
        <w:t>DOE2.2 prototype</w:t>
      </w:r>
      <w:r>
        <w:rPr>
          <w:rFonts w:asciiTheme="minorHAnsi" w:hAnsiTheme="minorHAnsi" w:cstheme="minorHAnsi"/>
          <w:i w:val="0"/>
          <w:color w:val="auto"/>
          <w:szCs w:val="22"/>
        </w:rPr>
        <w:t xml:space="preserve"> with the prototypes generated using the latest MASControl2 software application. </w:t>
      </w:r>
    </w:p>
    <w:p w:rsidR="00AA315C" w:rsidRPr="00420FCB" w:rsidRDefault="00AA315C" w:rsidP="00AA315C">
      <w:pPr>
        <w:pStyle w:val="Reminders"/>
        <w:rPr>
          <w:rFonts w:asciiTheme="minorHAnsi" w:hAnsiTheme="minorHAnsi" w:cstheme="minorHAnsi"/>
          <w:i w:val="0"/>
          <w:color w:val="auto"/>
          <w:szCs w:val="22"/>
        </w:rPr>
      </w:pPr>
    </w:p>
    <w:p w:rsidR="00036576" w:rsidRDefault="00AA315C" w:rsidP="00AA315C">
      <w:pPr>
        <w:pStyle w:val="Reminders"/>
        <w:rPr>
          <w:rFonts w:asciiTheme="minorHAnsi" w:hAnsiTheme="minorHAnsi" w:cstheme="minorHAnsi"/>
          <w:i w:val="0"/>
          <w:color w:val="auto"/>
          <w:szCs w:val="22"/>
        </w:rPr>
      </w:pPr>
      <w:r w:rsidRPr="00420FCB">
        <w:rPr>
          <w:rFonts w:asciiTheme="minorHAnsi" w:hAnsiTheme="minorHAnsi" w:cstheme="minorHAnsi"/>
          <w:i w:val="0"/>
          <w:color w:val="auto"/>
          <w:szCs w:val="22"/>
        </w:rPr>
        <w:lastRenderedPageBreak/>
        <w:t>Methodology for estimating energy savings is based on the GLASS-TYPE-CODE method within the eQuest/DOE2.2 energy modeling software</w:t>
      </w:r>
      <w:r>
        <w:rPr>
          <w:rFonts w:asciiTheme="minorHAnsi" w:hAnsiTheme="minorHAnsi" w:cstheme="minorHAnsi"/>
          <w:i w:val="0"/>
          <w:color w:val="auto"/>
          <w:szCs w:val="22"/>
        </w:rPr>
        <w:t xml:space="preserve">.  The GLASS-TYPE-CODE method selects a glazing from the DOE library which contains pre-determined performance data on window/glass assemblies including center of glass and glass plus </w:t>
      </w:r>
      <w:r w:rsidRPr="006F79B7">
        <w:rPr>
          <w:rFonts w:asciiTheme="minorHAnsi" w:hAnsiTheme="minorHAnsi" w:cstheme="minorHAnsi"/>
          <w:i w:val="0"/>
          <w:color w:val="auto"/>
          <w:szCs w:val="22"/>
        </w:rPr>
        <w:t>window frame</w:t>
      </w:r>
      <w:r>
        <w:rPr>
          <w:rFonts w:asciiTheme="minorHAnsi" w:hAnsiTheme="minorHAnsi" w:cstheme="minorHAnsi"/>
          <w:i w:val="0"/>
          <w:color w:val="auto"/>
          <w:szCs w:val="22"/>
        </w:rPr>
        <w:t xml:space="preserve"> </w:t>
      </w:r>
      <w:r w:rsidRPr="006F79B7">
        <w:rPr>
          <w:rFonts w:asciiTheme="minorHAnsi" w:hAnsiTheme="minorHAnsi" w:cstheme="minorHAnsi"/>
          <w:i w:val="0"/>
          <w:color w:val="auto"/>
          <w:szCs w:val="22"/>
        </w:rPr>
        <w:t>heat transfer coefficient “U-factor”, Solar Heat Gain Coefficient (“SHGC”), and Visible Transmittance (“VT”)</w:t>
      </w:r>
      <w:r>
        <w:rPr>
          <w:rFonts w:asciiTheme="minorHAnsi" w:hAnsiTheme="minorHAnsi" w:cstheme="minorHAnsi"/>
          <w:i w:val="0"/>
          <w:color w:val="auto"/>
          <w:szCs w:val="22"/>
        </w:rPr>
        <w:t xml:space="preserve"> among others</w:t>
      </w:r>
      <w:r w:rsidRPr="006F79B7">
        <w:rPr>
          <w:rFonts w:asciiTheme="minorHAnsi" w:hAnsiTheme="minorHAnsi" w:cstheme="minorHAnsi"/>
          <w:i w:val="0"/>
          <w:color w:val="auto"/>
          <w:szCs w:val="22"/>
        </w:rPr>
        <w:t xml:space="preserve">.  </w:t>
      </w:r>
    </w:p>
    <w:p w:rsidR="00E16D34" w:rsidRDefault="00E16D34" w:rsidP="00AA315C">
      <w:pPr>
        <w:pStyle w:val="Reminders"/>
        <w:rPr>
          <w:rFonts w:asciiTheme="minorHAnsi" w:hAnsiTheme="minorHAnsi" w:cstheme="minorHAnsi"/>
          <w:i w:val="0"/>
          <w:color w:val="auto"/>
          <w:szCs w:val="22"/>
        </w:rPr>
      </w:pPr>
    </w:p>
    <w:p w:rsidR="00036576" w:rsidRDefault="00036576" w:rsidP="00036576">
      <w:pPr>
        <w:pStyle w:val="Reminders"/>
        <w:rPr>
          <w:rFonts w:asciiTheme="minorHAnsi" w:hAnsiTheme="minorHAnsi" w:cstheme="minorHAnsi"/>
          <w:i w:val="0"/>
          <w:color w:val="auto"/>
          <w:szCs w:val="22"/>
        </w:rPr>
      </w:pPr>
      <w:r w:rsidRPr="00F90EB1">
        <w:rPr>
          <w:rFonts w:asciiTheme="minorHAnsi" w:hAnsiTheme="minorHAnsi" w:cstheme="minorHAnsi"/>
          <w:i w:val="0"/>
          <w:color w:val="auto"/>
          <w:szCs w:val="22"/>
        </w:rPr>
        <w:t>The measure is based on a specific window made by a specific manufacturer. The window</w:t>
      </w:r>
      <w:r>
        <w:rPr>
          <w:rFonts w:asciiTheme="minorHAnsi" w:hAnsiTheme="minorHAnsi" w:cstheme="minorHAnsi"/>
          <w:i w:val="0"/>
          <w:color w:val="auto"/>
          <w:szCs w:val="22"/>
        </w:rPr>
        <w:t xml:space="preserve"> </w:t>
      </w:r>
      <w:r w:rsidRPr="00F90EB1">
        <w:rPr>
          <w:rFonts w:asciiTheme="minorHAnsi" w:hAnsiTheme="minorHAnsi" w:cstheme="minorHAnsi"/>
          <w:i w:val="0"/>
          <w:color w:val="auto"/>
          <w:szCs w:val="22"/>
        </w:rPr>
        <w:t>selected for the program is the MI 5800 vinyl slider Lo E3-366 with the Intercept Ultra spacer. The</w:t>
      </w:r>
      <w:r>
        <w:rPr>
          <w:rFonts w:asciiTheme="minorHAnsi" w:hAnsiTheme="minorHAnsi" w:cstheme="minorHAnsi"/>
          <w:i w:val="0"/>
          <w:color w:val="auto"/>
          <w:szCs w:val="22"/>
        </w:rPr>
        <w:t xml:space="preserve"> </w:t>
      </w:r>
      <w:r w:rsidRPr="00F90EB1">
        <w:rPr>
          <w:rFonts w:asciiTheme="minorHAnsi" w:hAnsiTheme="minorHAnsi" w:cstheme="minorHAnsi"/>
          <w:i w:val="0"/>
          <w:color w:val="auto"/>
          <w:szCs w:val="22"/>
        </w:rPr>
        <w:t>properties for this window as published by the manufacturer are unit U-value of 0.32 Btu/hr-ft2-</w:t>
      </w:r>
      <w:r>
        <w:rPr>
          <w:rFonts w:asciiTheme="minorHAnsi" w:hAnsiTheme="minorHAnsi" w:cstheme="minorHAnsi"/>
          <w:i w:val="0"/>
          <w:color w:val="auto"/>
          <w:szCs w:val="22"/>
        </w:rPr>
        <w:t xml:space="preserve"> </w:t>
      </w:r>
      <w:r w:rsidRPr="00F90EB1">
        <w:rPr>
          <w:rFonts w:asciiTheme="minorHAnsi" w:hAnsiTheme="minorHAnsi" w:cstheme="minorHAnsi"/>
          <w:i w:val="0"/>
          <w:color w:val="auto"/>
          <w:szCs w:val="22"/>
        </w:rPr>
        <w:t>F and unit solar heat gain coefficient (SHGC) of 0.23.</w:t>
      </w:r>
    </w:p>
    <w:p w:rsidR="00036576" w:rsidRPr="00F90EB1" w:rsidRDefault="00036576" w:rsidP="00036576">
      <w:pPr>
        <w:pStyle w:val="Reminders"/>
        <w:rPr>
          <w:rFonts w:asciiTheme="minorHAnsi" w:hAnsiTheme="minorHAnsi" w:cstheme="minorHAnsi"/>
          <w:i w:val="0"/>
          <w:color w:val="auto"/>
          <w:szCs w:val="22"/>
        </w:rPr>
      </w:pPr>
    </w:p>
    <w:p w:rsidR="00036576" w:rsidRDefault="00036576" w:rsidP="00036576">
      <w:pPr>
        <w:pStyle w:val="Reminders"/>
        <w:rPr>
          <w:rFonts w:asciiTheme="minorHAnsi" w:hAnsiTheme="minorHAnsi" w:cstheme="minorHAnsi"/>
          <w:i w:val="0"/>
          <w:color w:val="auto"/>
          <w:szCs w:val="22"/>
        </w:rPr>
      </w:pPr>
      <w:r w:rsidRPr="00F90EB1">
        <w:rPr>
          <w:rFonts w:asciiTheme="minorHAnsi" w:hAnsiTheme="minorHAnsi" w:cstheme="minorHAnsi"/>
          <w:i w:val="0"/>
          <w:color w:val="auto"/>
          <w:szCs w:val="22"/>
        </w:rPr>
        <w:t xml:space="preserve">Modeling </w:t>
      </w:r>
      <w:r w:rsidR="008F0AC0">
        <w:rPr>
          <w:rFonts w:asciiTheme="minorHAnsi" w:hAnsiTheme="minorHAnsi" w:cstheme="minorHAnsi"/>
          <w:i w:val="0"/>
          <w:color w:val="auto"/>
          <w:szCs w:val="22"/>
        </w:rPr>
        <w:t xml:space="preserve">for the measure case </w:t>
      </w:r>
      <w:r w:rsidRPr="00F90EB1">
        <w:rPr>
          <w:rFonts w:asciiTheme="minorHAnsi" w:hAnsiTheme="minorHAnsi" w:cstheme="minorHAnsi"/>
          <w:i w:val="0"/>
          <w:color w:val="auto"/>
          <w:szCs w:val="22"/>
        </w:rPr>
        <w:t>was accomplished in MASControl2 by selecting a glass type from the standard glass</w:t>
      </w:r>
      <w:r>
        <w:rPr>
          <w:rFonts w:asciiTheme="minorHAnsi" w:hAnsiTheme="minorHAnsi" w:cstheme="minorHAnsi"/>
          <w:i w:val="0"/>
          <w:color w:val="auto"/>
          <w:szCs w:val="22"/>
        </w:rPr>
        <w:t xml:space="preserve"> </w:t>
      </w:r>
      <w:r w:rsidRPr="00F90EB1">
        <w:rPr>
          <w:rFonts w:asciiTheme="minorHAnsi" w:hAnsiTheme="minorHAnsi" w:cstheme="minorHAnsi"/>
          <w:i w:val="0"/>
          <w:color w:val="auto"/>
          <w:szCs w:val="22"/>
        </w:rPr>
        <w:t>type library that gave reasonable values for center-of-glass (COG) U-value and glass SHGC. The</w:t>
      </w:r>
      <w:r>
        <w:rPr>
          <w:rFonts w:asciiTheme="minorHAnsi" w:hAnsiTheme="minorHAnsi" w:cstheme="minorHAnsi"/>
          <w:i w:val="0"/>
          <w:color w:val="auto"/>
          <w:szCs w:val="22"/>
        </w:rPr>
        <w:t xml:space="preserve"> </w:t>
      </w:r>
      <w:r w:rsidRPr="00F90EB1">
        <w:rPr>
          <w:rFonts w:asciiTheme="minorHAnsi" w:hAnsiTheme="minorHAnsi" w:cstheme="minorHAnsi"/>
          <w:i w:val="0"/>
          <w:color w:val="auto"/>
          <w:szCs w:val="22"/>
        </w:rPr>
        <w:t>frame factor (frame-to-total unit area ratio) was assumed to be 17% for the model. The selected</w:t>
      </w:r>
      <w:r>
        <w:rPr>
          <w:rFonts w:asciiTheme="minorHAnsi" w:hAnsiTheme="minorHAnsi" w:cstheme="minorHAnsi"/>
          <w:i w:val="0"/>
          <w:color w:val="auto"/>
          <w:szCs w:val="22"/>
        </w:rPr>
        <w:t xml:space="preserve"> </w:t>
      </w:r>
      <w:r w:rsidRPr="00F90EB1">
        <w:rPr>
          <w:rFonts w:asciiTheme="minorHAnsi" w:hAnsiTheme="minorHAnsi" w:cstheme="minorHAnsi"/>
          <w:i w:val="0"/>
          <w:color w:val="auto"/>
          <w:szCs w:val="22"/>
        </w:rPr>
        <w:t>glass type was library #2668, which has a COG U-value of 0.231 Btu/hr-ft2-F and a glass SHGC of</w:t>
      </w:r>
      <w:r>
        <w:rPr>
          <w:rFonts w:asciiTheme="minorHAnsi" w:hAnsiTheme="minorHAnsi" w:cstheme="minorHAnsi"/>
          <w:i w:val="0"/>
          <w:color w:val="auto"/>
          <w:szCs w:val="22"/>
        </w:rPr>
        <w:t xml:space="preserve"> </w:t>
      </w:r>
      <w:r w:rsidRPr="00F90EB1">
        <w:rPr>
          <w:rFonts w:asciiTheme="minorHAnsi" w:hAnsiTheme="minorHAnsi" w:cstheme="minorHAnsi"/>
          <w:i w:val="0"/>
          <w:color w:val="auto"/>
          <w:szCs w:val="22"/>
        </w:rPr>
        <w:t>0.28. With a frame U-value of 0.82 Btu/hr-ft2-F, glass type 2668 gives a unit U-value of 0.320</w:t>
      </w:r>
      <w:r>
        <w:rPr>
          <w:rFonts w:asciiTheme="minorHAnsi" w:hAnsiTheme="minorHAnsi" w:cstheme="minorHAnsi"/>
          <w:i w:val="0"/>
          <w:color w:val="auto"/>
          <w:szCs w:val="22"/>
        </w:rPr>
        <w:t xml:space="preserve"> </w:t>
      </w:r>
      <w:r w:rsidRPr="00F90EB1">
        <w:rPr>
          <w:rFonts w:asciiTheme="minorHAnsi" w:hAnsiTheme="minorHAnsi" w:cstheme="minorHAnsi"/>
          <w:i w:val="0"/>
          <w:color w:val="auto"/>
          <w:szCs w:val="22"/>
        </w:rPr>
        <w:t>Btu/hr-ft2-F and a unit SHGC of 0.232</w:t>
      </w:r>
      <w:r>
        <w:rPr>
          <w:rFonts w:asciiTheme="minorHAnsi" w:hAnsiTheme="minorHAnsi" w:cstheme="minorHAnsi"/>
          <w:i w:val="0"/>
          <w:color w:val="auto"/>
          <w:szCs w:val="22"/>
        </w:rPr>
        <w:t>.</w:t>
      </w:r>
    </w:p>
    <w:p w:rsidR="00036576" w:rsidRDefault="00036576" w:rsidP="00036576">
      <w:pPr>
        <w:pStyle w:val="Reminders"/>
        <w:rPr>
          <w:rFonts w:asciiTheme="minorHAnsi" w:hAnsiTheme="minorHAnsi" w:cstheme="minorHAnsi"/>
          <w:i w:val="0"/>
          <w:color w:val="auto"/>
          <w:szCs w:val="22"/>
        </w:rPr>
      </w:pPr>
    </w:p>
    <w:p w:rsidR="00AA315C" w:rsidRDefault="00AA315C" w:rsidP="00AA315C">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Performance parameters </w:t>
      </w:r>
      <w:r w:rsidR="008F0AC0">
        <w:rPr>
          <w:rFonts w:asciiTheme="minorHAnsi" w:hAnsiTheme="minorHAnsi" w:cstheme="minorHAnsi"/>
          <w:i w:val="0"/>
          <w:color w:val="auto"/>
          <w:szCs w:val="22"/>
        </w:rPr>
        <w:t>for</w:t>
      </w:r>
      <w:r>
        <w:rPr>
          <w:rFonts w:asciiTheme="minorHAnsi" w:hAnsiTheme="minorHAnsi" w:cstheme="minorHAnsi"/>
          <w:i w:val="0"/>
          <w:color w:val="auto"/>
          <w:szCs w:val="22"/>
        </w:rPr>
        <w:t xml:space="preserve"> both </w:t>
      </w:r>
      <w:r w:rsidR="008F0AC0">
        <w:rPr>
          <w:rFonts w:asciiTheme="minorHAnsi" w:hAnsiTheme="minorHAnsi" w:cstheme="minorHAnsi"/>
          <w:i w:val="0"/>
          <w:color w:val="auto"/>
          <w:szCs w:val="22"/>
        </w:rPr>
        <w:t xml:space="preserve">the </w:t>
      </w:r>
      <w:r>
        <w:rPr>
          <w:rFonts w:asciiTheme="minorHAnsi" w:hAnsiTheme="minorHAnsi" w:cstheme="minorHAnsi"/>
          <w:i w:val="0"/>
          <w:color w:val="auto"/>
          <w:szCs w:val="22"/>
        </w:rPr>
        <w:t>measure case and base case window/glass assemblies and selected GLASS-TYPE-CODE utilized in the energy analysis are summarized below:</w:t>
      </w:r>
    </w:p>
    <w:p w:rsidR="00AA315C" w:rsidRDefault="00AA315C" w:rsidP="00AA315C">
      <w:pPr>
        <w:pStyle w:val="Reminders"/>
        <w:rPr>
          <w:rFonts w:asciiTheme="minorHAnsi" w:hAnsiTheme="minorHAnsi" w:cstheme="minorHAnsi"/>
          <w:i w:val="0"/>
          <w:color w:val="auto"/>
          <w:szCs w:val="22"/>
        </w:rPr>
      </w:pPr>
    </w:p>
    <w:p w:rsidR="00AA315C" w:rsidRPr="00AA315C" w:rsidRDefault="00AA315C" w:rsidP="00AA315C">
      <w:pPr>
        <w:pStyle w:val="Reminders"/>
        <w:ind w:firstLine="720"/>
        <w:rPr>
          <w:rFonts w:asciiTheme="minorHAnsi" w:hAnsiTheme="minorHAnsi" w:cstheme="minorHAnsi"/>
          <w:b/>
          <w:i w:val="0"/>
          <w:color w:val="auto"/>
          <w:sz w:val="20"/>
          <w:szCs w:val="20"/>
        </w:rPr>
      </w:pPr>
      <w:r w:rsidRPr="00AA315C">
        <w:rPr>
          <w:rFonts w:asciiTheme="minorHAnsi" w:hAnsiTheme="minorHAnsi" w:cstheme="minorHAnsi"/>
          <w:b/>
          <w:i w:val="0"/>
          <w:color w:val="auto"/>
          <w:sz w:val="20"/>
          <w:szCs w:val="20"/>
        </w:rPr>
        <w:t xml:space="preserve">Base Case Fenestration: </w:t>
      </w:r>
    </w:p>
    <w:p w:rsidR="00AA315C" w:rsidRPr="00AA315C" w:rsidRDefault="00AA315C" w:rsidP="00AA315C">
      <w:pPr>
        <w:pStyle w:val="Reminders"/>
        <w:ind w:firstLine="720"/>
        <w:rPr>
          <w:rFonts w:asciiTheme="minorHAnsi" w:hAnsiTheme="minorHAnsi" w:cstheme="minorHAnsi"/>
          <w:b/>
          <w:i w:val="0"/>
          <w:color w:val="auto"/>
          <w:sz w:val="20"/>
          <w:szCs w:val="20"/>
          <w:u w:val="single"/>
        </w:rPr>
      </w:pPr>
      <w:r w:rsidRPr="00AA315C">
        <w:rPr>
          <w:rFonts w:asciiTheme="minorHAnsi" w:hAnsiTheme="minorHAnsi" w:cstheme="minorHAnsi"/>
          <w:b/>
          <w:i w:val="0"/>
          <w:color w:val="auto"/>
          <w:sz w:val="20"/>
          <w:szCs w:val="20"/>
          <w:u w:val="single"/>
        </w:rPr>
        <w:t xml:space="preserve">U-0.55/SHGC 0.65 [Double </w:t>
      </w:r>
      <w:r>
        <w:rPr>
          <w:rFonts w:asciiTheme="minorHAnsi" w:hAnsiTheme="minorHAnsi" w:cstheme="minorHAnsi"/>
          <w:b/>
          <w:i w:val="0"/>
          <w:color w:val="auto"/>
          <w:sz w:val="20"/>
          <w:szCs w:val="20"/>
          <w:u w:val="single"/>
        </w:rPr>
        <w:t>Low-E (e3=.2) Clear]</w:t>
      </w:r>
    </w:p>
    <w:p w:rsidR="00AA315C" w:rsidRPr="00AA315C" w:rsidRDefault="00AA315C" w:rsidP="00036576">
      <w:pPr>
        <w:pStyle w:val="Reminders"/>
        <w:ind w:left="720"/>
        <w:rPr>
          <w:rFonts w:asciiTheme="minorHAnsi" w:hAnsiTheme="minorHAnsi" w:cstheme="minorHAnsi"/>
          <w:b/>
          <w:i w:val="0"/>
          <w:color w:val="auto"/>
          <w:sz w:val="20"/>
          <w:szCs w:val="20"/>
        </w:rPr>
      </w:pPr>
      <w:r w:rsidRPr="00AA315C">
        <w:rPr>
          <w:rFonts w:asciiTheme="minorHAnsi" w:hAnsiTheme="minorHAnsi" w:cstheme="minorHAnsi"/>
          <w:b/>
          <w:i w:val="0"/>
          <w:color w:val="auto"/>
          <w:sz w:val="20"/>
          <w:szCs w:val="20"/>
        </w:rPr>
        <w:t>GLASS-TYPE-CODE: 2610 [Double Low-E (e3=.2) Clear]|U-0.</w:t>
      </w:r>
      <w:r w:rsidR="00036576">
        <w:rPr>
          <w:rFonts w:asciiTheme="minorHAnsi" w:hAnsiTheme="minorHAnsi" w:cstheme="minorHAnsi"/>
          <w:b/>
          <w:i w:val="0"/>
          <w:color w:val="auto"/>
          <w:sz w:val="20"/>
          <w:szCs w:val="20"/>
        </w:rPr>
        <w:t xml:space="preserve">46/U-53 </w:t>
      </w:r>
      <w:r w:rsidR="00036576" w:rsidRPr="00AA315C">
        <w:rPr>
          <w:rFonts w:asciiTheme="minorHAnsi" w:hAnsiTheme="minorHAnsi" w:cstheme="minorHAnsi"/>
          <w:b/>
          <w:i w:val="0"/>
          <w:color w:val="auto"/>
          <w:sz w:val="20"/>
          <w:szCs w:val="20"/>
        </w:rPr>
        <w:t>(Center G.</w:t>
      </w:r>
      <w:r w:rsidR="00036576">
        <w:rPr>
          <w:rFonts w:asciiTheme="minorHAnsi" w:hAnsiTheme="minorHAnsi" w:cstheme="minorHAnsi"/>
          <w:b/>
          <w:i w:val="0"/>
          <w:color w:val="auto"/>
          <w:sz w:val="20"/>
          <w:szCs w:val="20"/>
        </w:rPr>
        <w:t xml:space="preserve">/Alum w/ </w:t>
      </w:r>
      <w:r w:rsidR="00036576" w:rsidRPr="00AA315C">
        <w:rPr>
          <w:rFonts w:asciiTheme="minorHAnsi" w:hAnsiTheme="minorHAnsi" w:cstheme="minorHAnsi"/>
          <w:b/>
          <w:i w:val="0"/>
          <w:color w:val="auto"/>
          <w:sz w:val="20"/>
          <w:szCs w:val="20"/>
        </w:rPr>
        <w:t xml:space="preserve">break)| </w:t>
      </w:r>
      <w:r w:rsidRPr="00AA315C">
        <w:rPr>
          <w:rFonts w:asciiTheme="minorHAnsi" w:hAnsiTheme="minorHAnsi" w:cstheme="minorHAnsi"/>
          <w:b/>
          <w:i w:val="0"/>
          <w:color w:val="auto"/>
          <w:sz w:val="20"/>
          <w:szCs w:val="20"/>
        </w:rPr>
        <w:t xml:space="preserve">SHGC 0.65 </w:t>
      </w:r>
    </w:p>
    <w:p w:rsidR="00AA315C" w:rsidRPr="00AA315C" w:rsidRDefault="00AA315C" w:rsidP="00AA315C">
      <w:pPr>
        <w:pStyle w:val="Reminders"/>
        <w:rPr>
          <w:rFonts w:asciiTheme="minorHAnsi" w:hAnsiTheme="minorHAnsi" w:cstheme="minorHAnsi"/>
          <w:b/>
          <w:i w:val="0"/>
          <w:color w:val="auto"/>
          <w:sz w:val="20"/>
          <w:szCs w:val="20"/>
        </w:rPr>
      </w:pPr>
    </w:p>
    <w:p w:rsidR="00AA315C" w:rsidRPr="00AA315C" w:rsidRDefault="00AA315C" w:rsidP="00AA315C">
      <w:pPr>
        <w:pStyle w:val="Reminders"/>
        <w:ind w:firstLine="720"/>
        <w:rPr>
          <w:rFonts w:asciiTheme="minorHAnsi" w:hAnsiTheme="minorHAnsi" w:cstheme="minorHAnsi"/>
          <w:b/>
          <w:i w:val="0"/>
          <w:color w:val="auto"/>
          <w:sz w:val="20"/>
          <w:szCs w:val="20"/>
        </w:rPr>
      </w:pPr>
      <w:r w:rsidRPr="00AA315C">
        <w:rPr>
          <w:rFonts w:asciiTheme="minorHAnsi" w:hAnsiTheme="minorHAnsi" w:cstheme="minorHAnsi"/>
          <w:b/>
          <w:i w:val="0"/>
          <w:color w:val="auto"/>
          <w:sz w:val="20"/>
          <w:szCs w:val="20"/>
        </w:rPr>
        <w:t xml:space="preserve">Measure Case Fenestration: </w:t>
      </w:r>
    </w:p>
    <w:p w:rsidR="00AA315C" w:rsidRPr="00AA315C" w:rsidRDefault="00AA315C" w:rsidP="00AA315C">
      <w:pPr>
        <w:pStyle w:val="Reminders"/>
        <w:ind w:firstLine="720"/>
        <w:rPr>
          <w:rFonts w:asciiTheme="minorHAnsi" w:hAnsiTheme="minorHAnsi" w:cstheme="minorHAnsi"/>
          <w:b/>
          <w:i w:val="0"/>
          <w:color w:val="auto"/>
          <w:sz w:val="20"/>
          <w:szCs w:val="20"/>
          <w:u w:val="single"/>
        </w:rPr>
      </w:pPr>
      <w:r w:rsidRPr="00AA315C">
        <w:rPr>
          <w:rFonts w:asciiTheme="minorHAnsi" w:hAnsiTheme="minorHAnsi" w:cstheme="minorHAnsi"/>
          <w:b/>
          <w:i w:val="0"/>
          <w:color w:val="auto"/>
          <w:sz w:val="20"/>
          <w:szCs w:val="20"/>
          <w:u w:val="single"/>
        </w:rPr>
        <w:t>U-0.32/SHGC 0.23 [Double Low-E (e2=0.04) Tint]</w:t>
      </w:r>
      <w:r w:rsidR="00501B2D">
        <w:rPr>
          <w:rFonts w:asciiTheme="minorHAnsi" w:hAnsiTheme="minorHAnsi" w:cstheme="minorHAnsi"/>
          <w:b/>
          <w:i w:val="0"/>
          <w:color w:val="auto"/>
          <w:sz w:val="20"/>
          <w:szCs w:val="20"/>
          <w:u w:val="single"/>
        </w:rPr>
        <w:t xml:space="preserve"> Modified </w:t>
      </w:r>
      <w:r w:rsidR="008F0AC0">
        <w:rPr>
          <w:rFonts w:asciiTheme="minorHAnsi" w:hAnsiTheme="minorHAnsi" w:cstheme="minorHAnsi"/>
          <w:b/>
          <w:i w:val="0"/>
          <w:color w:val="auto"/>
          <w:sz w:val="20"/>
          <w:szCs w:val="20"/>
          <w:u w:val="single"/>
        </w:rPr>
        <w:t xml:space="preserve">frame </w:t>
      </w:r>
      <w:r w:rsidR="00501B2D">
        <w:rPr>
          <w:rFonts w:asciiTheme="minorHAnsi" w:hAnsiTheme="minorHAnsi" w:cstheme="minorHAnsi"/>
          <w:b/>
          <w:i w:val="0"/>
          <w:color w:val="auto"/>
          <w:sz w:val="20"/>
          <w:szCs w:val="20"/>
          <w:u w:val="single"/>
        </w:rPr>
        <w:t>as discussed above</w:t>
      </w:r>
    </w:p>
    <w:p w:rsidR="00AA315C" w:rsidRPr="00F96E22" w:rsidRDefault="00AA315C" w:rsidP="00036576">
      <w:pPr>
        <w:pStyle w:val="Reminders"/>
        <w:ind w:left="720"/>
        <w:rPr>
          <w:rFonts w:asciiTheme="minorHAnsi" w:hAnsiTheme="minorHAnsi" w:cstheme="minorHAnsi"/>
          <w:b/>
          <w:i w:val="0"/>
          <w:color w:val="auto"/>
          <w:sz w:val="20"/>
          <w:szCs w:val="20"/>
        </w:rPr>
      </w:pPr>
      <w:r w:rsidRPr="00AA315C">
        <w:rPr>
          <w:rFonts w:asciiTheme="minorHAnsi" w:hAnsiTheme="minorHAnsi" w:cstheme="minorHAnsi"/>
          <w:b/>
          <w:i w:val="0"/>
          <w:color w:val="auto"/>
          <w:sz w:val="20"/>
          <w:szCs w:val="20"/>
        </w:rPr>
        <w:t>GLASS-TYPE-CODE: 266</w:t>
      </w:r>
      <w:r>
        <w:rPr>
          <w:rFonts w:asciiTheme="minorHAnsi" w:hAnsiTheme="minorHAnsi" w:cstheme="minorHAnsi"/>
          <w:b/>
          <w:i w:val="0"/>
          <w:color w:val="auto"/>
          <w:sz w:val="20"/>
          <w:szCs w:val="20"/>
        </w:rPr>
        <w:t>8</w:t>
      </w:r>
      <w:r w:rsidRPr="00AA315C">
        <w:rPr>
          <w:rFonts w:asciiTheme="minorHAnsi" w:hAnsiTheme="minorHAnsi" w:cstheme="minorHAnsi"/>
          <w:b/>
          <w:i w:val="0"/>
          <w:color w:val="auto"/>
          <w:sz w:val="20"/>
          <w:szCs w:val="20"/>
        </w:rPr>
        <w:t xml:space="preserve"> [Double Low-E (e2=0.04)|U-0.2</w:t>
      </w:r>
      <w:r>
        <w:rPr>
          <w:rFonts w:asciiTheme="minorHAnsi" w:hAnsiTheme="minorHAnsi" w:cstheme="minorHAnsi"/>
          <w:b/>
          <w:i w:val="0"/>
          <w:color w:val="auto"/>
          <w:sz w:val="20"/>
          <w:szCs w:val="20"/>
        </w:rPr>
        <w:t>3</w:t>
      </w:r>
      <w:r w:rsidRPr="00AA315C">
        <w:rPr>
          <w:rFonts w:asciiTheme="minorHAnsi" w:hAnsiTheme="minorHAnsi" w:cstheme="minorHAnsi"/>
          <w:b/>
          <w:i w:val="0"/>
          <w:color w:val="auto"/>
          <w:sz w:val="20"/>
          <w:szCs w:val="20"/>
        </w:rPr>
        <w:t>/U-0.33 (Center G.</w:t>
      </w:r>
      <w:r>
        <w:rPr>
          <w:rFonts w:asciiTheme="minorHAnsi" w:hAnsiTheme="minorHAnsi" w:cstheme="minorHAnsi"/>
          <w:b/>
          <w:i w:val="0"/>
          <w:color w:val="auto"/>
          <w:sz w:val="20"/>
          <w:szCs w:val="20"/>
        </w:rPr>
        <w:t xml:space="preserve">/Alum </w:t>
      </w:r>
      <w:r w:rsidR="00036576">
        <w:rPr>
          <w:rFonts w:asciiTheme="minorHAnsi" w:hAnsiTheme="minorHAnsi" w:cstheme="minorHAnsi"/>
          <w:b/>
          <w:i w:val="0"/>
          <w:color w:val="auto"/>
          <w:sz w:val="20"/>
          <w:szCs w:val="20"/>
        </w:rPr>
        <w:t>w/</w:t>
      </w:r>
      <w:r>
        <w:rPr>
          <w:rFonts w:asciiTheme="minorHAnsi" w:hAnsiTheme="minorHAnsi" w:cstheme="minorHAnsi"/>
          <w:b/>
          <w:i w:val="0"/>
          <w:color w:val="auto"/>
          <w:sz w:val="20"/>
          <w:szCs w:val="20"/>
        </w:rPr>
        <w:t xml:space="preserve"> </w:t>
      </w:r>
      <w:r w:rsidRPr="00AA315C">
        <w:rPr>
          <w:rFonts w:asciiTheme="minorHAnsi" w:hAnsiTheme="minorHAnsi" w:cstheme="minorHAnsi"/>
          <w:b/>
          <w:i w:val="0"/>
          <w:color w:val="auto"/>
          <w:sz w:val="20"/>
          <w:szCs w:val="20"/>
        </w:rPr>
        <w:t>break)| SHGC 0.</w:t>
      </w:r>
      <w:r>
        <w:rPr>
          <w:rFonts w:asciiTheme="minorHAnsi" w:hAnsiTheme="minorHAnsi" w:cstheme="minorHAnsi"/>
          <w:b/>
          <w:i w:val="0"/>
          <w:color w:val="auto"/>
          <w:sz w:val="20"/>
          <w:szCs w:val="20"/>
        </w:rPr>
        <w:t>28</w:t>
      </w:r>
    </w:p>
    <w:p w:rsidR="00AA315C" w:rsidRPr="006F79B7" w:rsidRDefault="00AA315C" w:rsidP="00AA315C">
      <w:pPr>
        <w:pStyle w:val="Reminders"/>
        <w:rPr>
          <w:rFonts w:asciiTheme="minorHAnsi" w:hAnsiTheme="minorHAnsi" w:cstheme="minorHAnsi"/>
          <w:i w:val="0"/>
          <w:color w:val="auto"/>
          <w:szCs w:val="22"/>
        </w:rPr>
      </w:pPr>
    </w:p>
    <w:p w:rsidR="00901BA2" w:rsidRDefault="00AA315C" w:rsidP="00901BA2">
      <w:pPr>
        <w:pStyle w:val="Reminders"/>
        <w:rPr>
          <w:rFonts w:asciiTheme="minorHAnsi" w:hAnsiTheme="minorHAnsi" w:cstheme="minorHAnsi"/>
          <w:i w:val="0"/>
          <w:color w:val="auto"/>
          <w:szCs w:val="22"/>
        </w:rPr>
      </w:pPr>
      <w:r w:rsidRPr="006F79B7">
        <w:rPr>
          <w:rFonts w:asciiTheme="minorHAnsi" w:hAnsiTheme="minorHAnsi" w:cstheme="minorHAnsi"/>
          <w:i w:val="0"/>
          <w:color w:val="auto"/>
          <w:szCs w:val="22"/>
        </w:rPr>
        <w:t xml:space="preserve">Energy savings </w:t>
      </w:r>
      <w:r>
        <w:rPr>
          <w:rFonts w:asciiTheme="minorHAnsi" w:hAnsiTheme="minorHAnsi" w:cstheme="minorHAnsi"/>
          <w:i w:val="0"/>
          <w:color w:val="auto"/>
          <w:szCs w:val="22"/>
        </w:rPr>
        <w:t xml:space="preserve">on the measure </w:t>
      </w:r>
      <w:r w:rsidRPr="006F79B7">
        <w:rPr>
          <w:rFonts w:asciiTheme="minorHAnsi" w:hAnsiTheme="minorHAnsi" w:cstheme="minorHAnsi"/>
          <w:i w:val="0"/>
          <w:color w:val="auto"/>
          <w:szCs w:val="22"/>
        </w:rPr>
        <w:t>were normalized based on total</w:t>
      </w:r>
      <w:r>
        <w:rPr>
          <w:rFonts w:asciiTheme="minorHAnsi" w:hAnsiTheme="minorHAnsi" w:cstheme="minorHAnsi"/>
          <w:i w:val="0"/>
          <w:color w:val="auto"/>
          <w:szCs w:val="22"/>
        </w:rPr>
        <w:t xml:space="preserve"> square footage of window in corresponding</w:t>
      </w:r>
      <w:r w:rsidRPr="006F79B7">
        <w:rPr>
          <w:rFonts w:asciiTheme="minorHAnsi" w:hAnsiTheme="minorHAnsi" w:cstheme="minorHAnsi"/>
          <w:i w:val="0"/>
          <w:color w:val="auto"/>
          <w:szCs w:val="22"/>
        </w:rPr>
        <w:t xml:space="preserve"> building</w:t>
      </w:r>
      <w:r>
        <w:rPr>
          <w:rFonts w:asciiTheme="minorHAnsi" w:hAnsiTheme="minorHAnsi" w:cstheme="minorHAnsi"/>
          <w:i w:val="0"/>
          <w:color w:val="auto"/>
          <w:szCs w:val="22"/>
        </w:rPr>
        <w:t xml:space="preserve"> (home).  For instance, the total energy and demand impacts as estimated by the building energy model were divided by the total window area as indicated by the building energy model’s LV-D report</w:t>
      </w:r>
      <w:r w:rsidRPr="006F79B7">
        <w:rPr>
          <w:rFonts w:asciiTheme="minorHAnsi" w:hAnsiTheme="minorHAnsi" w:cstheme="minorHAnsi"/>
          <w:i w:val="0"/>
          <w:color w:val="auto"/>
          <w:szCs w:val="22"/>
        </w:rPr>
        <w:t xml:space="preserve">.  </w:t>
      </w:r>
    </w:p>
    <w:p w:rsidR="00901BA2" w:rsidRDefault="00901BA2" w:rsidP="00901BA2">
      <w:pPr>
        <w:pStyle w:val="Reminders"/>
        <w:rPr>
          <w:rFonts w:asciiTheme="minorHAnsi" w:hAnsiTheme="minorHAnsi" w:cstheme="minorHAnsi"/>
          <w:i w:val="0"/>
          <w:color w:val="auto"/>
          <w:szCs w:val="22"/>
        </w:rPr>
      </w:pPr>
    </w:p>
    <w:p w:rsidR="00AA315C" w:rsidRDefault="00901BA2" w:rsidP="00F90EB1">
      <w:pPr>
        <w:pStyle w:val="Reminders"/>
        <w:rPr>
          <w:rFonts w:asciiTheme="minorHAnsi" w:hAnsiTheme="minorHAnsi" w:cstheme="minorHAnsi"/>
          <w:i w:val="0"/>
          <w:color w:val="auto"/>
          <w:szCs w:val="22"/>
        </w:rPr>
      </w:pPr>
      <w:r>
        <w:rPr>
          <w:rFonts w:asciiTheme="minorHAnsi" w:hAnsiTheme="minorHAnsi" w:cstheme="minorHAnsi"/>
          <w:i w:val="0"/>
          <w:color w:val="auto"/>
          <w:szCs w:val="22"/>
        </w:rPr>
        <w:t>Attachment 1</w:t>
      </w:r>
      <w:r w:rsidRPr="00F90EB1">
        <w:rPr>
          <w:rFonts w:asciiTheme="minorHAnsi" w:hAnsiTheme="minorHAnsi" w:cstheme="minorHAnsi"/>
          <w:i w:val="0"/>
          <w:color w:val="auto"/>
          <w:szCs w:val="22"/>
        </w:rPr>
        <w:t xml:space="preserve"> includes the MASControl2 simulation results along with results</w:t>
      </w:r>
      <w:r>
        <w:rPr>
          <w:rFonts w:asciiTheme="minorHAnsi" w:hAnsiTheme="minorHAnsi" w:cstheme="minorHAnsi"/>
          <w:i w:val="0"/>
          <w:color w:val="auto"/>
          <w:szCs w:val="22"/>
        </w:rPr>
        <w:t xml:space="preserve"> </w:t>
      </w:r>
      <w:r w:rsidRPr="00F90EB1">
        <w:rPr>
          <w:rFonts w:asciiTheme="minorHAnsi" w:hAnsiTheme="minorHAnsi" w:cstheme="minorHAnsi"/>
          <w:i w:val="0"/>
          <w:color w:val="auto"/>
          <w:szCs w:val="22"/>
        </w:rPr>
        <w:t xml:space="preserve">formatted for the </w:t>
      </w:r>
      <w:r w:rsidR="0020128F" w:rsidRPr="00F90EB1">
        <w:rPr>
          <w:rFonts w:asciiTheme="minorHAnsi" w:hAnsiTheme="minorHAnsi" w:cstheme="minorHAnsi"/>
          <w:i w:val="0"/>
          <w:color w:val="auto"/>
          <w:szCs w:val="22"/>
        </w:rPr>
        <w:t>ex-ante</w:t>
      </w:r>
      <w:r w:rsidRPr="00F90EB1">
        <w:rPr>
          <w:rFonts w:asciiTheme="minorHAnsi" w:hAnsiTheme="minorHAnsi" w:cstheme="minorHAnsi"/>
          <w:i w:val="0"/>
          <w:color w:val="auto"/>
          <w:szCs w:val="22"/>
        </w:rPr>
        <w:t xml:space="preserve"> database and a data review graphic. The results were produced using</w:t>
      </w:r>
      <w:r>
        <w:rPr>
          <w:rFonts w:asciiTheme="minorHAnsi" w:hAnsiTheme="minorHAnsi" w:cstheme="minorHAnsi"/>
          <w:i w:val="0"/>
          <w:color w:val="auto"/>
          <w:szCs w:val="22"/>
        </w:rPr>
        <w:t xml:space="preserve"> </w:t>
      </w:r>
      <w:r w:rsidRPr="00F90EB1">
        <w:rPr>
          <w:rFonts w:asciiTheme="minorHAnsi" w:hAnsiTheme="minorHAnsi" w:cstheme="minorHAnsi"/>
          <w:i w:val="0"/>
          <w:color w:val="auto"/>
          <w:szCs w:val="22"/>
        </w:rPr>
        <w:t>the updated MASControl2 rules database file and were processed using SQL functions and</w:t>
      </w:r>
      <w:r>
        <w:rPr>
          <w:rFonts w:asciiTheme="minorHAnsi" w:hAnsiTheme="minorHAnsi" w:cstheme="minorHAnsi"/>
          <w:i w:val="0"/>
          <w:color w:val="auto"/>
          <w:szCs w:val="22"/>
        </w:rPr>
        <w:t xml:space="preserve"> </w:t>
      </w:r>
      <w:r w:rsidRPr="00F90EB1">
        <w:rPr>
          <w:rFonts w:asciiTheme="minorHAnsi" w:hAnsiTheme="minorHAnsi" w:cstheme="minorHAnsi"/>
          <w:i w:val="0"/>
          <w:color w:val="auto"/>
          <w:szCs w:val="22"/>
        </w:rPr>
        <w:t>queries. The process for updating the MASControl2 database as well as for manipulating the</w:t>
      </w:r>
      <w:r>
        <w:rPr>
          <w:rFonts w:asciiTheme="minorHAnsi" w:hAnsiTheme="minorHAnsi" w:cstheme="minorHAnsi"/>
          <w:i w:val="0"/>
          <w:color w:val="auto"/>
          <w:szCs w:val="22"/>
        </w:rPr>
        <w:t xml:space="preserve"> </w:t>
      </w:r>
      <w:r w:rsidRPr="00F90EB1">
        <w:rPr>
          <w:rFonts w:asciiTheme="minorHAnsi" w:hAnsiTheme="minorHAnsi" w:cstheme="minorHAnsi"/>
          <w:i w:val="0"/>
          <w:color w:val="auto"/>
          <w:szCs w:val="22"/>
        </w:rPr>
        <w:t xml:space="preserve">technology results into the weighted measure savings values is described in </w:t>
      </w:r>
      <w:r w:rsidR="008F0AC0">
        <w:rPr>
          <w:rFonts w:asciiTheme="minorHAnsi" w:hAnsiTheme="minorHAnsi" w:cstheme="minorHAnsi"/>
          <w:i w:val="0"/>
          <w:color w:val="auto"/>
          <w:szCs w:val="22"/>
        </w:rPr>
        <w:t>Attachment 2</w:t>
      </w:r>
      <w:r w:rsidRPr="00F90EB1">
        <w:rPr>
          <w:rFonts w:asciiTheme="minorHAnsi" w:hAnsiTheme="minorHAnsi" w:cstheme="minorHAnsi"/>
          <w:i w:val="0"/>
          <w:color w:val="auto"/>
          <w:szCs w:val="22"/>
        </w:rPr>
        <w:t>.</w:t>
      </w:r>
      <w:r>
        <w:rPr>
          <w:rFonts w:asciiTheme="minorHAnsi" w:hAnsiTheme="minorHAnsi" w:cstheme="minorHAnsi"/>
          <w:i w:val="0"/>
          <w:color w:val="auto"/>
          <w:szCs w:val="22"/>
        </w:rPr>
        <w:t xml:space="preserve"> </w:t>
      </w:r>
      <w:r w:rsidRPr="00F90EB1">
        <w:rPr>
          <w:rFonts w:asciiTheme="minorHAnsi" w:hAnsiTheme="minorHAnsi" w:cstheme="minorHAnsi"/>
          <w:i w:val="0"/>
          <w:color w:val="auto"/>
          <w:szCs w:val="22"/>
        </w:rPr>
        <w:t xml:space="preserve">The additional tables, queries and functions used in this processing are included in </w:t>
      </w:r>
      <w:r w:rsidR="008F0AC0">
        <w:rPr>
          <w:rFonts w:asciiTheme="minorHAnsi" w:hAnsiTheme="minorHAnsi" w:cstheme="minorHAnsi"/>
          <w:i w:val="0"/>
          <w:color w:val="auto"/>
          <w:szCs w:val="22"/>
        </w:rPr>
        <w:t>Attachment 3</w:t>
      </w:r>
      <w:r w:rsidRPr="00F90EB1">
        <w:rPr>
          <w:rFonts w:asciiTheme="minorHAnsi" w:hAnsiTheme="minorHAnsi" w:cstheme="minorHAnsi"/>
          <w:i w:val="0"/>
          <w:color w:val="auto"/>
          <w:szCs w:val="22"/>
        </w:rPr>
        <w:t xml:space="preserve">. </w:t>
      </w:r>
    </w:p>
    <w:p w:rsidR="00E16609" w:rsidRPr="00500C4E" w:rsidRDefault="00E16609" w:rsidP="00CF63D6">
      <w:pPr>
        <w:pStyle w:val="Heading1"/>
        <w:rPr>
          <w:rFonts w:cstheme="minorHAnsi"/>
        </w:rPr>
      </w:pPr>
      <w:bookmarkStart w:id="17" w:name="_Toc214003093"/>
      <w:r w:rsidRPr="00500C4E">
        <w:rPr>
          <w:rFonts w:cstheme="minorHAnsi"/>
        </w:rPr>
        <w:lastRenderedPageBreak/>
        <w:t>Section 3</w:t>
      </w:r>
      <w:r w:rsidR="00317970">
        <w:rPr>
          <w:rFonts w:cstheme="minorHAnsi"/>
        </w:rPr>
        <w:t>.</w:t>
      </w:r>
      <w:r w:rsidR="00317970" w:rsidRPr="00500C4E">
        <w:rPr>
          <w:rFonts w:cstheme="minorHAnsi"/>
        </w:rPr>
        <w:t xml:space="preserve"> </w:t>
      </w:r>
      <w:r w:rsidRPr="00500C4E">
        <w:rPr>
          <w:rFonts w:cstheme="minorHAnsi"/>
        </w:rPr>
        <w:t>Load Shape</w:t>
      </w:r>
      <w:bookmarkEnd w:id="17"/>
      <w:r w:rsidRPr="00500C4E">
        <w:rPr>
          <w:rFonts w:cstheme="minorHAnsi"/>
        </w:rPr>
        <w:t>s</w:t>
      </w:r>
    </w:p>
    <w:p w:rsidR="000173BF" w:rsidRPr="00500C4E" w:rsidRDefault="008F2167" w:rsidP="00CF63D6">
      <w:pPr>
        <w:keepNext/>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229"/>
        <w:gridCol w:w="3407"/>
        <w:gridCol w:w="2940"/>
      </w:tblGrid>
      <w:tr w:rsidR="00263C1C" w:rsidRPr="00500C4E" w:rsidTr="00920905">
        <w:tc>
          <w:tcPr>
            <w:tcW w:w="1686" w:type="pct"/>
            <w:shd w:val="clear" w:color="auto" w:fill="D9D9D9" w:themeFill="background1" w:themeFillShade="D9"/>
          </w:tcPr>
          <w:p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CB1248" w:rsidRPr="00500C4E" w:rsidTr="00322982">
        <w:tc>
          <w:tcPr>
            <w:tcW w:w="1686" w:type="pct"/>
          </w:tcPr>
          <w:p w:rsidR="00CB1248" w:rsidRPr="00920905" w:rsidRDefault="00CB1248" w:rsidP="00CB1248">
            <w:pPr>
              <w:rPr>
                <w:rFonts w:cstheme="minorHAnsi"/>
                <w:color w:val="FF0000"/>
                <w:szCs w:val="20"/>
              </w:rPr>
            </w:pPr>
            <w:r w:rsidRPr="00B16ED9">
              <w:rPr>
                <w:rFonts w:cstheme="minorHAnsi"/>
                <w:szCs w:val="20"/>
              </w:rPr>
              <w:t xml:space="preserve">Residential </w:t>
            </w:r>
            <w:r>
              <w:rPr>
                <w:rFonts w:cstheme="minorHAnsi"/>
                <w:szCs w:val="20"/>
              </w:rPr>
              <w:t>Manufactured Housing</w:t>
            </w:r>
          </w:p>
        </w:tc>
        <w:tc>
          <w:tcPr>
            <w:tcW w:w="1779" w:type="pct"/>
            <w:vAlign w:val="center"/>
          </w:tcPr>
          <w:p w:rsidR="00CB1248" w:rsidRPr="003D7D1C" w:rsidRDefault="00CB1248" w:rsidP="00322982">
            <w:pPr>
              <w:jc w:val="center"/>
              <w:rPr>
                <w:rFonts w:cstheme="minorHAnsi"/>
                <w:szCs w:val="20"/>
              </w:rPr>
            </w:pPr>
            <w:r w:rsidRPr="0046720C">
              <w:rPr>
                <w:rFonts w:cstheme="minorHAnsi"/>
                <w:szCs w:val="20"/>
              </w:rPr>
              <w:t>Window_Tint-Ret</w:t>
            </w:r>
          </w:p>
        </w:tc>
        <w:tc>
          <w:tcPr>
            <w:tcW w:w="1535" w:type="pct"/>
            <w:vAlign w:val="center"/>
          </w:tcPr>
          <w:p w:rsidR="00CB1248" w:rsidRPr="003D7D1C" w:rsidRDefault="00CB1248" w:rsidP="00322982">
            <w:pPr>
              <w:jc w:val="center"/>
              <w:rPr>
                <w:rFonts w:cstheme="minorHAnsi"/>
                <w:szCs w:val="20"/>
              </w:rPr>
            </w:pPr>
            <w:r w:rsidRPr="003D7D1C">
              <w:rPr>
                <w:rFonts w:cstheme="minorHAnsi"/>
                <w:szCs w:val="20"/>
              </w:rPr>
              <w:t>NON_RES</w:t>
            </w:r>
          </w:p>
        </w:tc>
      </w:tr>
    </w:tbl>
    <w:p w:rsidR="005552C3" w:rsidRDefault="00F95E2F" w:rsidP="00920905">
      <w:pPr>
        <w:pStyle w:val="Heading1"/>
      </w:pPr>
      <w:r>
        <w:t>Section 4. Costs</w:t>
      </w:r>
    </w:p>
    <w:p w:rsidR="00CB1248" w:rsidRPr="006F79B7" w:rsidRDefault="00CB1248" w:rsidP="00CB1248">
      <w:pPr>
        <w:rPr>
          <w:rFonts w:cstheme="minorHAnsi"/>
          <w:szCs w:val="22"/>
        </w:rPr>
      </w:pPr>
      <w:bookmarkStart w:id="18" w:name="_Toc214003097"/>
      <w:r w:rsidRPr="006F79B7">
        <w:rPr>
          <w:rFonts w:cstheme="minorHAnsi"/>
          <w:szCs w:val="22"/>
        </w:rPr>
        <w:t xml:space="preserve">Estimated </w:t>
      </w:r>
      <w:r>
        <w:rPr>
          <w:rFonts w:cstheme="minorHAnsi"/>
          <w:szCs w:val="22"/>
        </w:rPr>
        <w:t xml:space="preserve">measure </w:t>
      </w:r>
      <w:r w:rsidR="00064D51">
        <w:rPr>
          <w:rFonts w:cstheme="minorHAnsi"/>
          <w:szCs w:val="22"/>
        </w:rPr>
        <w:t xml:space="preserve">material </w:t>
      </w:r>
      <w:r w:rsidRPr="006F79B7">
        <w:rPr>
          <w:rFonts w:cstheme="minorHAnsi"/>
          <w:szCs w:val="22"/>
        </w:rPr>
        <w:t xml:space="preserve">cost information </w:t>
      </w:r>
      <w:r w:rsidR="00064D51">
        <w:rPr>
          <w:rFonts w:cstheme="minorHAnsi"/>
          <w:szCs w:val="22"/>
        </w:rPr>
        <w:t>is</w:t>
      </w:r>
      <w:r w:rsidR="008C6EC8">
        <w:rPr>
          <w:rFonts w:cstheme="minorHAnsi"/>
          <w:szCs w:val="22"/>
        </w:rPr>
        <w:t xml:space="preserve"> based on MSRP information from the manufacturer of the window being installed in SDG&amp;E territory</w:t>
      </w:r>
      <w:r w:rsidRPr="006F79B7">
        <w:rPr>
          <w:rFonts w:cstheme="minorHAnsi"/>
          <w:szCs w:val="22"/>
        </w:rPr>
        <w:t>.</w:t>
      </w:r>
      <w:r w:rsidR="008C6EC8">
        <w:rPr>
          <w:rFonts w:cstheme="minorHAnsi"/>
          <w:szCs w:val="22"/>
        </w:rPr>
        <w:t xml:space="preserve"> </w:t>
      </w:r>
      <w:r w:rsidR="00064D51">
        <w:rPr>
          <w:rFonts w:cstheme="minorHAnsi"/>
          <w:szCs w:val="22"/>
        </w:rPr>
        <w:t xml:space="preserve">Estimated labor costs </w:t>
      </w:r>
      <w:r w:rsidR="00064D51" w:rsidRPr="006F79B7">
        <w:rPr>
          <w:rFonts w:cstheme="minorHAnsi"/>
          <w:szCs w:val="22"/>
        </w:rPr>
        <w:t xml:space="preserve">are based on Residential Cost Data </w:t>
      </w:r>
      <w:r w:rsidR="00064D51">
        <w:rPr>
          <w:rFonts w:cstheme="minorHAnsi"/>
          <w:szCs w:val="22"/>
        </w:rPr>
        <w:t>(</w:t>
      </w:r>
      <w:r w:rsidR="00064D51" w:rsidRPr="00AB387A">
        <w:rPr>
          <w:rFonts w:cstheme="minorHAnsi"/>
          <w:szCs w:val="22"/>
        </w:rPr>
        <w:t>RSMeans Residential Cost Data 2010</w:t>
      </w:r>
      <w:r w:rsidR="00064D51">
        <w:rPr>
          <w:rFonts w:cstheme="minorHAnsi"/>
          <w:szCs w:val="22"/>
        </w:rPr>
        <w:t xml:space="preserve"> – [</w:t>
      </w:r>
      <w:r w:rsidR="00064D51" w:rsidRPr="00387A39">
        <w:rPr>
          <w:rFonts w:cstheme="minorHAnsi"/>
          <w:szCs w:val="22"/>
        </w:rPr>
        <w:t>408</w:t>
      </w:r>
      <w:r w:rsidR="00064D51">
        <w:rPr>
          <w:rFonts w:cstheme="minorHAnsi"/>
          <w:szCs w:val="22"/>
        </w:rPr>
        <w:t>])</w:t>
      </w:r>
      <w:r w:rsidR="00CF63D6">
        <w:rPr>
          <w:rFonts w:cstheme="minorHAnsi"/>
          <w:szCs w:val="22"/>
        </w:rPr>
        <w:t xml:space="preserve">. </w:t>
      </w:r>
      <w:r w:rsidR="008C6EC8">
        <w:rPr>
          <w:rFonts w:cstheme="minorHAnsi"/>
          <w:szCs w:val="22"/>
        </w:rPr>
        <w:t>The measure case labor costs are expected to be equal to the base case labor costs.</w:t>
      </w:r>
      <w:r w:rsidRPr="006F79B7">
        <w:rPr>
          <w:rFonts w:cstheme="minorHAnsi"/>
          <w:szCs w:val="22"/>
        </w:rPr>
        <w:t xml:space="preserve">  </w:t>
      </w:r>
      <w:r w:rsidR="008C6EC8">
        <w:rPr>
          <w:rFonts w:cstheme="minorHAnsi"/>
          <w:szCs w:val="22"/>
        </w:rPr>
        <w:t>Thus, the incremental measure cost is the difference between the measure case material cost and the base case material cost.</w:t>
      </w:r>
    </w:p>
    <w:p w:rsidR="00CB1248" w:rsidRPr="006F79B7" w:rsidRDefault="00CB1248" w:rsidP="00CB1248">
      <w:pPr>
        <w:rPr>
          <w:rFonts w:cstheme="minorHAnsi"/>
          <w:szCs w:val="22"/>
        </w:rPr>
      </w:pPr>
    </w:p>
    <w:p w:rsidR="00CB1248" w:rsidRPr="006F79B7" w:rsidRDefault="00CB1248" w:rsidP="00CB1248">
      <w:pPr>
        <w:rPr>
          <w:rFonts w:cstheme="minorHAnsi"/>
          <w:szCs w:val="22"/>
        </w:rPr>
      </w:pPr>
      <w:r w:rsidRPr="006F79B7">
        <w:rPr>
          <w:rFonts w:cstheme="minorHAnsi"/>
          <w:szCs w:val="22"/>
        </w:rPr>
        <w:t xml:space="preserve">Base Case cost </w:t>
      </w:r>
      <w:r w:rsidR="008C6EC8">
        <w:rPr>
          <w:rFonts w:cstheme="minorHAnsi"/>
          <w:szCs w:val="22"/>
        </w:rPr>
        <w:t>i</w:t>
      </w:r>
      <w:r w:rsidRPr="006F79B7">
        <w:rPr>
          <w:rFonts w:cstheme="minorHAnsi"/>
          <w:szCs w:val="22"/>
        </w:rPr>
        <w:t xml:space="preserve">s based on DEER05 documentation. </w:t>
      </w:r>
    </w:p>
    <w:p w:rsidR="00E16609" w:rsidRDefault="00CB1248" w:rsidP="00CB1248">
      <w:pPr>
        <w:pStyle w:val="Heading2"/>
        <w:rPr>
          <w:rFonts w:asciiTheme="minorHAnsi" w:hAnsiTheme="minorHAnsi" w:cstheme="minorHAnsi"/>
        </w:rPr>
      </w:pPr>
      <w:r w:rsidRPr="00500C4E">
        <w:rPr>
          <w:rFonts w:asciiTheme="minorHAnsi" w:hAnsiTheme="minorHAnsi" w:cstheme="minorHAnsi"/>
        </w:rPr>
        <w:t>4.1 Base Case Cost</w:t>
      </w:r>
      <w:bookmarkEnd w:id="18"/>
    </w:p>
    <w:p w:rsidR="00CB1248" w:rsidRPr="006F79B7" w:rsidRDefault="00CB1248" w:rsidP="00CB1248">
      <w:pPr>
        <w:pStyle w:val="Calibri11"/>
        <w:rPr>
          <w:rFonts w:asciiTheme="minorHAnsi" w:hAnsiTheme="minorHAnsi"/>
          <w:color w:val="auto"/>
          <w:sz w:val="22"/>
          <w:szCs w:val="22"/>
        </w:rPr>
      </w:pPr>
      <w:bookmarkStart w:id="19" w:name="_Toc214003098"/>
      <w:r w:rsidRPr="006F79B7">
        <w:rPr>
          <w:rFonts w:asciiTheme="minorHAnsi" w:hAnsiTheme="minorHAnsi"/>
          <w:color w:val="auto"/>
          <w:sz w:val="22"/>
          <w:szCs w:val="22"/>
        </w:rPr>
        <w:t>Base Case cost from DEER05 is $16.41 per square foot of window</w:t>
      </w:r>
      <w:r>
        <w:rPr>
          <w:rFonts w:asciiTheme="minorHAnsi" w:hAnsiTheme="minorHAnsi"/>
          <w:color w:val="auto"/>
          <w:sz w:val="22"/>
          <w:szCs w:val="22"/>
        </w:rPr>
        <w:t xml:space="preserve"> </w:t>
      </w:r>
      <w:r w:rsidRPr="006F79B7">
        <w:rPr>
          <w:rFonts w:asciiTheme="minorHAnsi" w:hAnsiTheme="minorHAnsi"/>
          <w:color w:val="auto"/>
          <w:sz w:val="22"/>
          <w:szCs w:val="22"/>
        </w:rPr>
        <w:t xml:space="preserve">and Labor cost </w:t>
      </w:r>
      <w:r w:rsidR="00064D51">
        <w:rPr>
          <w:rFonts w:asciiTheme="minorHAnsi" w:hAnsiTheme="minorHAnsi"/>
          <w:color w:val="auto"/>
          <w:sz w:val="22"/>
          <w:szCs w:val="22"/>
        </w:rPr>
        <w:t>i</w:t>
      </w:r>
      <w:r w:rsidRPr="006F79B7">
        <w:rPr>
          <w:rFonts w:asciiTheme="minorHAnsi" w:hAnsiTheme="minorHAnsi"/>
          <w:color w:val="auto"/>
          <w:sz w:val="22"/>
          <w:szCs w:val="22"/>
        </w:rPr>
        <w:t>s $8.8</w:t>
      </w:r>
      <w:r>
        <w:rPr>
          <w:rFonts w:asciiTheme="minorHAnsi" w:hAnsiTheme="minorHAnsi"/>
          <w:color w:val="auto"/>
          <w:sz w:val="22"/>
          <w:szCs w:val="22"/>
        </w:rPr>
        <w:t>0</w:t>
      </w:r>
      <w:r w:rsidRPr="006F79B7">
        <w:rPr>
          <w:rFonts w:asciiTheme="minorHAnsi" w:hAnsiTheme="minorHAnsi"/>
          <w:color w:val="auto"/>
          <w:sz w:val="22"/>
          <w:szCs w:val="22"/>
        </w:rPr>
        <w:t xml:space="preserve"> per square foot of window.</w:t>
      </w:r>
      <w:r>
        <w:rPr>
          <w:rFonts w:asciiTheme="minorHAnsi" w:hAnsiTheme="minorHAnsi"/>
          <w:color w:val="auto"/>
          <w:sz w:val="22"/>
          <w:szCs w:val="22"/>
        </w:rPr>
        <w:t xml:space="preserve">  </w:t>
      </w:r>
    </w:p>
    <w:p w:rsidR="005A0E53" w:rsidRPr="00500C4E" w:rsidRDefault="00CB1248" w:rsidP="00CB1248">
      <w:pPr>
        <w:pStyle w:val="Heading2"/>
        <w:rPr>
          <w:rFonts w:asciiTheme="minorHAnsi" w:hAnsiTheme="minorHAnsi" w:cstheme="minorHAnsi"/>
        </w:rPr>
      </w:pPr>
      <w:r w:rsidRPr="00500C4E">
        <w:rPr>
          <w:rFonts w:asciiTheme="minorHAnsi" w:hAnsiTheme="minorHAnsi" w:cstheme="minorHAnsi"/>
        </w:rPr>
        <w:t>4.2 Measure Case Cost</w:t>
      </w:r>
    </w:p>
    <w:p w:rsidR="00CB1248" w:rsidRPr="00DE77D0" w:rsidRDefault="00CB1248" w:rsidP="00FE5FAF">
      <w:pPr>
        <w:rPr>
          <w:color w:val="FF0000"/>
        </w:rPr>
      </w:pPr>
      <w:r w:rsidRPr="003D6346">
        <w:rPr>
          <w:szCs w:val="22"/>
        </w:rPr>
        <w:t>Measure cost is $</w:t>
      </w:r>
      <w:r w:rsidR="008C6EC8">
        <w:rPr>
          <w:szCs w:val="22"/>
        </w:rPr>
        <w:t>30.00</w:t>
      </w:r>
      <w:r w:rsidRPr="003D6346">
        <w:rPr>
          <w:szCs w:val="22"/>
        </w:rPr>
        <w:t xml:space="preserve"> per square foot of window </w:t>
      </w:r>
      <w:r w:rsidRPr="006F79B7">
        <w:rPr>
          <w:szCs w:val="22"/>
        </w:rPr>
        <w:t xml:space="preserve">and Labor cost </w:t>
      </w:r>
      <w:r w:rsidR="00064D51">
        <w:rPr>
          <w:szCs w:val="22"/>
        </w:rPr>
        <w:t>i</w:t>
      </w:r>
      <w:r w:rsidRPr="006F79B7">
        <w:rPr>
          <w:szCs w:val="22"/>
        </w:rPr>
        <w:t>s $8.8</w:t>
      </w:r>
      <w:r>
        <w:rPr>
          <w:szCs w:val="22"/>
        </w:rPr>
        <w:t>0</w:t>
      </w:r>
      <w:r w:rsidRPr="006F79B7">
        <w:rPr>
          <w:szCs w:val="22"/>
        </w:rPr>
        <w:t xml:space="preserve"> per square foot of window.</w:t>
      </w:r>
    </w:p>
    <w:p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19"/>
    </w:p>
    <w:p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rsidTr="00CB1248">
        <w:tc>
          <w:tcPr>
            <w:tcW w:w="671" w:type="pct"/>
            <w:vMerge w:val="restart"/>
            <w:shd w:val="clear" w:color="auto" w:fill="D9D9D9" w:themeFill="background1" w:themeFillShade="D9"/>
          </w:tcPr>
          <w:p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rsidTr="00CB1248">
        <w:tc>
          <w:tcPr>
            <w:tcW w:w="671" w:type="pct"/>
            <w:vMerge/>
            <w:shd w:val="clear" w:color="auto" w:fill="D9D9D9" w:themeFill="background1" w:themeFillShade="D9"/>
          </w:tcPr>
          <w:p w:rsidR="00211153" w:rsidRPr="00DE77D0" w:rsidRDefault="00211153" w:rsidP="00175D14">
            <w:pPr>
              <w:rPr>
                <w:rFonts w:cstheme="minorHAnsi"/>
                <w:b/>
                <w:szCs w:val="20"/>
              </w:rPr>
            </w:pPr>
          </w:p>
        </w:tc>
        <w:tc>
          <w:tcPr>
            <w:tcW w:w="1443" w:type="pct"/>
            <w:vMerge/>
            <w:shd w:val="clear" w:color="auto" w:fill="D9D9D9" w:themeFill="background1" w:themeFillShade="D9"/>
          </w:tcPr>
          <w:p w:rsidR="00211153" w:rsidRPr="00DE77D0" w:rsidRDefault="00211153" w:rsidP="00175D14">
            <w:pPr>
              <w:rPr>
                <w:rFonts w:cstheme="minorHAnsi"/>
                <w:b/>
                <w:szCs w:val="20"/>
              </w:rPr>
            </w:pPr>
          </w:p>
        </w:tc>
        <w:tc>
          <w:tcPr>
            <w:tcW w:w="1396" w:type="pct"/>
            <w:shd w:val="clear" w:color="auto" w:fill="F2F2F2" w:themeFill="background1" w:themeFillShade="F2"/>
          </w:tcPr>
          <w:p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CB1248" w:rsidRPr="00500C4E" w:rsidTr="00CB1248">
        <w:tc>
          <w:tcPr>
            <w:tcW w:w="671" w:type="pct"/>
          </w:tcPr>
          <w:p w:rsidR="00CB1248" w:rsidRPr="00920905" w:rsidRDefault="00CB1248" w:rsidP="00DA5D77">
            <w:pPr>
              <w:rPr>
                <w:rFonts w:cstheme="minorHAnsi"/>
                <w:szCs w:val="20"/>
              </w:rPr>
            </w:pPr>
            <w:r>
              <w:rPr>
                <w:rFonts w:cstheme="minorHAnsi"/>
                <w:szCs w:val="20"/>
              </w:rPr>
              <w:t>RET/ER</w:t>
            </w:r>
          </w:p>
        </w:tc>
        <w:tc>
          <w:tcPr>
            <w:tcW w:w="1443" w:type="pct"/>
          </w:tcPr>
          <w:p w:rsidR="00CB1248" w:rsidRPr="00920905" w:rsidRDefault="00CB1248" w:rsidP="00DA5D77">
            <w:pPr>
              <w:rPr>
                <w:rFonts w:cstheme="minorHAnsi"/>
                <w:szCs w:val="20"/>
              </w:rPr>
            </w:pPr>
            <w:r>
              <w:rPr>
                <w:rFonts w:cstheme="minorHAnsi"/>
                <w:szCs w:val="20"/>
              </w:rPr>
              <w:t>(MEC + MLC) – (BEC + BLC)</w:t>
            </w:r>
          </w:p>
        </w:tc>
        <w:tc>
          <w:tcPr>
            <w:tcW w:w="1396" w:type="pct"/>
          </w:tcPr>
          <w:p w:rsidR="00CB1248" w:rsidRPr="00920905" w:rsidRDefault="00CB1248" w:rsidP="00DA5D77">
            <w:pPr>
              <w:rPr>
                <w:rFonts w:cstheme="minorHAnsi"/>
                <w:szCs w:val="20"/>
              </w:rPr>
            </w:pPr>
            <w:r>
              <w:rPr>
                <w:rFonts w:cstheme="minorHAnsi"/>
                <w:szCs w:val="20"/>
              </w:rPr>
              <w:t>MEC + MLC</w:t>
            </w:r>
          </w:p>
        </w:tc>
        <w:tc>
          <w:tcPr>
            <w:tcW w:w="1489" w:type="pct"/>
          </w:tcPr>
          <w:p w:rsidR="00CB1248" w:rsidRPr="00920905" w:rsidRDefault="00CB1248" w:rsidP="00DA5D77">
            <w:pPr>
              <w:rPr>
                <w:rFonts w:cstheme="minorHAnsi"/>
                <w:szCs w:val="20"/>
              </w:rPr>
            </w:pPr>
            <w:r>
              <w:rPr>
                <w:rFonts w:cstheme="minorHAnsi"/>
                <w:szCs w:val="20"/>
              </w:rPr>
              <w:t>(MEC + MLC) – (BEC + BLC)</w:t>
            </w:r>
          </w:p>
        </w:tc>
      </w:tr>
    </w:tbl>
    <w:p w:rsidR="00CB1248" w:rsidRDefault="00CB1248" w:rsidP="00920905">
      <w:pPr>
        <w:rPr>
          <w:sz w:val="20"/>
          <w:szCs w:val="20"/>
        </w:rPr>
      </w:pPr>
    </w:p>
    <w:p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rsidR="00FF73B4" w:rsidRDefault="00FF73B4">
      <w:pPr>
        <w:rPr>
          <w:rFonts w:cs="Arial"/>
          <w:color w:val="FF0000"/>
          <w:szCs w:val="22"/>
        </w:rPr>
      </w:pPr>
    </w:p>
    <w:p w:rsidR="00FF73B4" w:rsidRDefault="00931E45">
      <w:pPr>
        <w:rPr>
          <w:b/>
        </w:rPr>
      </w:pPr>
      <w:r>
        <w:rPr>
          <w:b/>
        </w:rPr>
        <w:t xml:space="preserve">Full and </w:t>
      </w:r>
      <w:r w:rsidR="00FF73B4" w:rsidRPr="00DE77D0">
        <w:rPr>
          <w:b/>
        </w:rPr>
        <w:t>Incremental Cost</w:t>
      </w:r>
      <w:r w:rsidR="00FF73B4">
        <w:rPr>
          <w:b/>
        </w:rPr>
        <w:t>s</w:t>
      </w:r>
    </w:p>
    <w:tbl>
      <w:tblPr>
        <w:tblStyle w:val="TableGrid1"/>
        <w:tblW w:w="4991" w:type="pct"/>
        <w:tblLayout w:type="fixed"/>
        <w:tblLook w:val="01E0" w:firstRow="1" w:lastRow="1" w:firstColumn="1" w:lastColumn="1" w:noHBand="0" w:noVBand="0"/>
      </w:tblPr>
      <w:tblGrid>
        <w:gridCol w:w="2178"/>
        <w:gridCol w:w="1350"/>
        <w:gridCol w:w="1711"/>
        <w:gridCol w:w="1529"/>
        <w:gridCol w:w="2791"/>
      </w:tblGrid>
      <w:tr w:rsidR="00322982" w:rsidRPr="00500C4E" w:rsidTr="00322982">
        <w:tc>
          <w:tcPr>
            <w:tcW w:w="1139" w:type="pct"/>
            <w:tcBorders>
              <w:top w:val="single" w:sz="4" w:space="0" w:color="auto"/>
              <w:bottom w:val="nil"/>
            </w:tcBorders>
            <w:shd w:val="clear" w:color="auto" w:fill="D9D9D9" w:themeFill="background1" w:themeFillShade="D9"/>
          </w:tcPr>
          <w:p w:rsidR="00CB1248" w:rsidRDefault="00CB1248" w:rsidP="00175D14">
            <w:pPr>
              <w:rPr>
                <w:rFonts w:cstheme="minorHAnsi"/>
                <w:b/>
                <w:szCs w:val="20"/>
              </w:rPr>
            </w:pPr>
            <w:r>
              <w:rPr>
                <w:rFonts w:cstheme="minorHAnsi"/>
                <w:b/>
                <w:szCs w:val="20"/>
              </w:rPr>
              <w:t>Measure</w:t>
            </w:r>
          </w:p>
        </w:tc>
        <w:tc>
          <w:tcPr>
            <w:tcW w:w="706" w:type="pct"/>
            <w:vMerge w:val="restart"/>
            <w:tcBorders>
              <w:top w:val="single" w:sz="4" w:space="0" w:color="auto"/>
            </w:tcBorders>
            <w:shd w:val="clear" w:color="auto" w:fill="D9D9D9" w:themeFill="background1" w:themeFillShade="D9"/>
          </w:tcPr>
          <w:p w:rsidR="00CB1248" w:rsidRPr="00DE77D0" w:rsidRDefault="00CB1248" w:rsidP="00175D14">
            <w:pPr>
              <w:rPr>
                <w:rFonts w:cstheme="minorHAnsi"/>
                <w:b/>
                <w:szCs w:val="20"/>
                <w:highlight w:val="yellow"/>
              </w:rPr>
            </w:pPr>
            <w:r>
              <w:rPr>
                <w:rFonts w:cstheme="minorHAnsi"/>
                <w:b/>
                <w:szCs w:val="20"/>
              </w:rPr>
              <w:t>Installation Type</w:t>
            </w:r>
          </w:p>
        </w:tc>
        <w:tc>
          <w:tcPr>
            <w:tcW w:w="895" w:type="pct"/>
            <w:vMerge w:val="restart"/>
            <w:tcBorders>
              <w:top w:val="single" w:sz="4" w:space="0" w:color="auto"/>
            </w:tcBorders>
            <w:shd w:val="clear" w:color="auto" w:fill="D9D9D9" w:themeFill="background1" w:themeFillShade="D9"/>
          </w:tcPr>
          <w:p w:rsidR="00CB1248" w:rsidRPr="00DE77D0" w:rsidRDefault="00CB1248" w:rsidP="00175D14">
            <w:pPr>
              <w:rPr>
                <w:rFonts w:cstheme="minorHAnsi"/>
                <w:b/>
                <w:szCs w:val="20"/>
              </w:rPr>
            </w:pPr>
            <w:r>
              <w:rPr>
                <w:rFonts w:cstheme="minorHAnsi"/>
                <w:b/>
                <w:szCs w:val="20"/>
              </w:rPr>
              <w:t>Incremental Measure Cost</w:t>
            </w:r>
          </w:p>
        </w:tc>
        <w:tc>
          <w:tcPr>
            <w:tcW w:w="2260" w:type="pct"/>
            <w:gridSpan w:val="2"/>
            <w:tcBorders>
              <w:top w:val="single" w:sz="4" w:space="0" w:color="auto"/>
            </w:tcBorders>
            <w:shd w:val="clear" w:color="auto" w:fill="D9D9D9" w:themeFill="background1" w:themeFillShade="D9"/>
          </w:tcPr>
          <w:p w:rsidR="00CB1248" w:rsidRPr="00DE77D0" w:rsidRDefault="00CB1248" w:rsidP="00175D14">
            <w:pPr>
              <w:rPr>
                <w:rFonts w:cstheme="minorHAnsi"/>
                <w:b/>
                <w:szCs w:val="20"/>
                <w:highlight w:val="yellow"/>
              </w:rPr>
            </w:pPr>
            <w:r>
              <w:rPr>
                <w:rFonts w:cstheme="minorHAnsi"/>
                <w:b/>
                <w:szCs w:val="20"/>
              </w:rPr>
              <w:t>Full Measure Cost</w:t>
            </w:r>
          </w:p>
        </w:tc>
      </w:tr>
      <w:tr w:rsidR="00322982" w:rsidRPr="00500C4E" w:rsidTr="00322982">
        <w:tc>
          <w:tcPr>
            <w:tcW w:w="1139" w:type="pct"/>
            <w:tcBorders>
              <w:top w:val="nil"/>
              <w:bottom w:val="single" w:sz="4" w:space="0" w:color="auto"/>
            </w:tcBorders>
            <w:shd w:val="clear" w:color="auto" w:fill="D9D9D9" w:themeFill="background1" w:themeFillShade="D9"/>
          </w:tcPr>
          <w:p w:rsidR="00CB1248" w:rsidRPr="00DE77D0" w:rsidRDefault="00CB1248" w:rsidP="00175D14">
            <w:pPr>
              <w:rPr>
                <w:rFonts w:cstheme="minorHAnsi"/>
                <w:b/>
                <w:szCs w:val="20"/>
              </w:rPr>
            </w:pPr>
          </w:p>
        </w:tc>
        <w:tc>
          <w:tcPr>
            <w:tcW w:w="706" w:type="pct"/>
            <w:vMerge/>
            <w:shd w:val="clear" w:color="auto" w:fill="D9D9D9" w:themeFill="background1" w:themeFillShade="D9"/>
          </w:tcPr>
          <w:p w:rsidR="00CB1248" w:rsidRPr="00DE77D0" w:rsidRDefault="00CB1248" w:rsidP="00175D14">
            <w:pPr>
              <w:rPr>
                <w:rFonts w:cstheme="minorHAnsi"/>
                <w:b/>
                <w:szCs w:val="20"/>
              </w:rPr>
            </w:pPr>
          </w:p>
        </w:tc>
        <w:tc>
          <w:tcPr>
            <w:tcW w:w="895" w:type="pct"/>
            <w:vMerge/>
            <w:shd w:val="clear" w:color="auto" w:fill="D9D9D9" w:themeFill="background1" w:themeFillShade="D9"/>
          </w:tcPr>
          <w:p w:rsidR="00CB1248" w:rsidRPr="00DE77D0" w:rsidRDefault="00CB1248" w:rsidP="00175D14">
            <w:pPr>
              <w:rPr>
                <w:rFonts w:cstheme="minorHAnsi"/>
                <w:b/>
                <w:szCs w:val="20"/>
              </w:rPr>
            </w:pPr>
          </w:p>
        </w:tc>
        <w:tc>
          <w:tcPr>
            <w:tcW w:w="800" w:type="pct"/>
            <w:shd w:val="clear" w:color="auto" w:fill="F2F2F2" w:themeFill="background1" w:themeFillShade="F2"/>
          </w:tcPr>
          <w:p w:rsidR="00CB1248" w:rsidRPr="00DE77D0" w:rsidRDefault="00CB1248"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460" w:type="pct"/>
            <w:shd w:val="clear" w:color="auto" w:fill="F2F2F2" w:themeFill="background1" w:themeFillShade="F2"/>
          </w:tcPr>
          <w:p w:rsidR="00CB1248" w:rsidRPr="00DE77D0" w:rsidRDefault="00CB1248"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322982" w:rsidRPr="00500C4E" w:rsidTr="00322982">
        <w:tc>
          <w:tcPr>
            <w:tcW w:w="1139" w:type="pct"/>
            <w:tcBorders>
              <w:top w:val="single" w:sz="4" w:space="0" w:color="auto"/>
            </w:tcBorders>
          </w:tcPr>
          <w:p w:rsidR="00322982" w:rsidRDefault="00322982" w:rsidP="00DA5D77">
            <w:pPr>
              <w:rPr>
                <w:rFonts w:cstheme="minorHAnsi"/>
                <w:szCs w:val="20"/>
              </w:rPr>
            </w:pPr>
            <w:r w:rsidRPr="00322982">
              <w:rPr>
                <w:rFonts w:cstheme="minorHAnsi"/>
                <w:szCs w:val="20"/>
              </w:rPr>
              <w:t xml:space="preserve">Prescriptive Window </w:t>
            </w:r>
          </w:p>
          <w:p w:rsidR="00CB1248" w:rsidRPr="003D6346" w:rsidRDefault="00322982" w:rsidP="00322982">
            <w:pPr>
              <w:rPr>
                <w:rFonts w:cstheme="minorHAnsi"/>
                <w:szCs w:val="20"/>
              </w:rPr>
            </w:pPr>
            <w:r w:rsidRPr="00322982">
              <w:rPr>
                <w:rFonts w:cstheme="minorHAnsi"/>
                <w:szCs w:val="20"/>
              </w:rPr>
              <w:t>U-.32/SHGC 0.23</w:t>
            </w:r>
          </w:p>
        </w:tc>
        <w:tc>
          <w:tcPr>
            <w:tcW w:w="706" w:type="pct"/>
            <w:vAlign w:val="center"/>
          </w:tcPr>
          <w:p w:rsidR="00CB1248" w:rsidRPr="003D6346" w:rsidRDefault="00CB1248" w:rsidP="00322982">
            <w:pPr>
              <w:jc w:val="center"/>
              <w:rPr>
                <w:rFonts w:cstheme="minorHAnsi"/>
                <w:szCs w:val="20"/>
              </w:rPr>
            </w:pPr>
            <w:r w:rsidRPr="003D6346">
              <w:rPr>
                <w:rFonts w:cstheme="minorHAnsi"/>
                <w:szCs w:val="20"/>
              </w:rPr>
              <w:t>RET</w:t>
            </w:r>
          </w:p>
        </w:tc>
        <w:tc>
          <w:tcPr>
            <w:tcW w:w="895" w:type="pct"/>
            <w:vAlign w:val="center"/>
          </w:tcPr>
          <w:p w:rsidR="00CB1248" w:rsidRPr="003D6346" w:rsidRDefault="00CB1248" w:rsidP="00322982">
            <w:pPr>
              <w:jc w:val="center"/>
              <w:rPr>
                <w:rFonts w:cstheme="minorHAnsi"/>
                <w:szCs w:val="20"/>
              </w:rPr>
            </w:pPr>
            <w:r w:rsidRPr="003D6346">
              <w:rPr>
                <w:rFonts w:cstheme="minorHAnsi"/>
                <w:szCs w:val="20"/>
              </w:rPr>
              <w:t>$</w:t>
            </w:r>
            <w:r w:rsidR="008C6EC8">
              <w:rPr>
                <w:rFonts w:cstheme="minorHAnsi"/>
                <w:szCs w:val="20"/>
              </w:rPr>
              <w:t>13.59</w:t>
            </w:r>
          </w:p>
        </w:tc>
        <w:tc>
          <w:tcPr>
            <w:tcW w:w="800" w:type="pct"/>
            <w:vAlign w:val="center"/>
          </w:tcPr>
          <w:p w:rsidR="00CB1248" w:rsidRPr="003D6346" w:rsidRDefault="00CB1248" w:rsidP="00322982">
            <w:pPr>
              <w:jc w:val="center"/>
              <w:rPr>
                <w:rFonts w:cstheme="minorHAnsi"/>
                <w:szCs w:val="20"/>
              </w:rPr>
            </w:pPr>
            <w:r w:rsidRPr="003D6346">
              <w:rPr>
                <w:rFonts w:cstheme="minorHAnsi"/>
                <w:szCs w:val="20"/>
              </w:rPr>
              <w:t>$</w:t>
            </w:r>
            <w:r w:rsidR="008C6EC8">
              <w:rPr>
                <w:rFonts w:cstheme="minorHAnsi"/>
                <w:szCs w:val="20"/>
              </w:rPr>
              <w:t>38.80</w:t>
            </w:r>
          </w:p>
        </w:tc>
        <w:tc>
          <w:tcPr>
            <w:tcW w:w="1460" w:type="pct"/>
            <w:vAlign w:val="center"/>
          </w:tcPr>
          <w:p w:rsidR="00CB1248" w:rsidRPr="003D6346" w:rsidRDefault="00CB1248" w:rsidP="00322982">
            <w:pPr>
              <w:jc w:val="center"/>
              <w:rPr>
                <w:rFonts w:cstheme="minorHAnsi"/>
                <w:szCs w:val="20"/>
              </w:rPr>
            </w:pPr>
            <w:r w:rsidRPr="003D6346">
              <w:rPr>
                <w:rFonts w:cstheme="minorHAnsi"/>
                <w:szCs w:val="20"/>
              </w:rPr>
              <w:t>$</w:t>
            </w:r>
            <w:r w:rsidR="008C6EC8">
              <w:rPr>
                <w:rFonts w:cstheme="minorHAnsi"/>
                <w:szCs w:val="20"/>
              </w:rPr>
              <w:t>13.59</w:t>
            </w:r>
          </w:p>
        </w:tc>
      </w:tr>
    </w:tbl>
    <w:p w:rsidR="00E16609" w:rsidRPr="00920905" w:rsidRDefault="00E16609">
      <w:pPr>
        <w:rPr>
          <w:rFonts w:cstheme="minorHAnsi"/>
          <w:sz w:val="20"/>
          <w:szCs w:val="20"/>
        </w:rPr>
      </w:pPr>
      <w:bookmarkStart w:id="20" w:name="_Toc214003099"/>
      <w:r w:rsidRPr="00920905">
        <w:rPr>
          <w:rFonts w:cstheme="minorHAnsi"/>
          <w:sz w:val="20"/>
          <w:szCs w:val="20"/>
        </w:rPr>
        <w:br w:type="page"/>
      </w:r>
    </w:p>
    <w:bookmarkEnd w:id="20"/>
    <w:p w:rsidR="00E16609" w:rsidRPr="00500C4E" w:rsidRDefault="00E16609" w:rsidP="00E16609">
      <w:pPr>
        <w:pStyle w:val="Heading1"/>
        <w:rPr>
          <w:rFonts w:cstheme="minorHAnsi"/>
        </w:rPr>
      </w:pPr>
      <w:r w:rsidRPr="008F0AC0">
        <w:rPr>
          <w:rFonts w:cstheme="minorHAnsi"/>
        </w:rPr>
        <w:lastRenderedPageBreak/>
        <w:t>Attachments</w:t>
      </w:r>
    </w:p>
    <w:p w:rsidR="008F0AC0" w:rsidRDefault="008F0AC0" w:rsidP="00E40CF9">
      <w:pPr>
        <w:pStyle w:val="Reminders"/>
        <w:rPr>
          <w:rFonts w:asciiTheme="minorHAnsi" w:hAnsiTheme="minorHAnsi" w:cstheme="minorHAnsi"/>
          <w:i w:val="0"/>
          <w:szCs w:val="22"/>
        </w:rPr>
      </w:pPr>
    </w:p>
    <w:p w:rsidR="008F0AC0" w:rsidRDefault="008F0AC0" w:rsidP="00E40CF9">
      <w:pPr>
        <w:pStyle w:val="Reminders"/>
        <w:rPr>
          <w:rFonts w:asciiTheme="minorHAnsi" w:hAnsiTheme="minorHAnsi" w:cstheme="minorHAnsi"/>
          <w:i w:val="0"/>
          <w:szCs w:val="22"/>
        </w:rPr>
      </w:pPr>
    </w:p>
    <w:p w:rsidR="00A500D6" w:rsidRPr="00500C4E" w:rsidRDefault="00A500D6" w:rsidP="00E16609">
      <w:pPr>
        <w:rPr>
          <w:rFonts w:cstheme="minorHAnsi"/>
        </w:rPr>
      </w:pPr>
    </w:p>
    <w:p w:rsidR="00612041" w:rsidRPr="00500C4E" w:rsidRDefault="00612041" w:rsidP="00E16609">
      <w:pPr>
        <w:rPr>
          <w:rFonts w:cstheme="minorHAnsi"/>
        </w:rPr>
      </w:pPr>
    </w:p>
    <w:p w:rsidR="00C54EFF" w:rsidRPr="00500C4E" w:rsidRDefault="00C54EFF" w:rsidP="00E16609">
      <w:pPr>
        <w:rPr>
          <w:rFonts w:cstheme="minorHAnsi"/>
        </w:rPr>
      </w:pPr>
    </w:p>
    <w:p w:rsidR="00C54EFF" w:rsidRPr="00500C4E" w:rsidRDefault="00C54EFF">
      <w:pPr>
        <w:spacing w:after="200" w:line="276" w:lineRule="auto"/>
        <w:rPr>
          <w:rFonts w:cstheme="minorHAnsi"/>
        </w:rPr>
      </w:pPr>
      <w:r w:rsidRPr="00500C4E">
        <w:rPr>
          <w:rFonts w:cstheme="minorHAnsi"/>
        </w:rPr>
        <w:br w:type="page"/>
      </w:r>
    </w:p>
    <w:p w:rsidR="00C54EFF" w:rsidRPr="00500C4E" w:rsidRDefault="00C54EFF" w:rsidP="00C54EFF">
      <w:pPr>
        <w:pStyle w:val="Heading1"/>
        <w:rPr>
          <w:rFonts w:cstheme="minorHAnsi"/>
        </w:rPr>
      </w:pPr>
      <w:r w:rsidRPr="00064D51">
        <w:rPr>
          <w:rFonts w:cstheme="minorHAnsi"/>
        </w:rPr>
        <w:lastRenderedPageBreak/>
        <w:t>References</w:t>
      </w:r>
    </w:p>
    <w:p w:rsidR="00480E7B" w:rsidRPr="00920905" w:rsidRDefault="00480E7B">
      <w:pPr>
        <w:rPr>
          <w:color w:val="FF0000"/>
        </w:rPr>
      </w:pPr>
    </w:p>
    <w:sectPr w:rsidR="00480E7B" w:rsidRPr="00920905" w:rsidSect="00E87C8F">
      <w:footerReference w:type="default" r:id="rId9"/>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5916" w:rsidRDefault="008D5916" w:rsidP="00447D6E">
      <w:r>
        <w:separator/>
      </w:r>
    </w:p>
    <w:p w:rsidR="008D5916" w:rsidRDefault="008D5916"/>
  </w:endnote>
  <w:endnote w:type="continuationSeparator" w:id="0">
    <w:p w:rsidR="008D5916" w:rsidRDefault="008D5916" w:rsidP="00447D6E">
      <w:r>
        <w:continuationSeparator/>
      </w:r>
    </w:p>
    <w:p w:rsidR="008D5916" w:rsidRDefault="008D59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57E7" w:rsidRPr="009500DC" w:rsidRDefault="00724479"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ED57E7">
          <w:rPr>
            <w:rFonts w:cstheme="minorHAnsi"/>
            <w:b/>
            <w:sz w:val="20"/>
            <w:szCs w:val="20"/>
          </w:rPr>
          <w:t>WPSDGEREMI006</w:t>
        </w:r>
      </w:sdtContent>
    </w:sdt>
    <w:r w:rsidR="00ED57E7">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ED57E7">
          <w:rPr>
            <w:rFonts w:cstheme="minorHAnsi"/>
            <w:b/>
            <w:sz w:val="20"/>
            <w:szCs w:val="20"/>
          </w:rPr>
          <w:t>Revision 0</w:t>
        </w:r>
      </w:sdtContent>
    </w:sdt>
    <w:r w:rsidR="00ED57E7" w:rsidRPr="009500DC">
      <w:rPr>
        <w:rFonts w:cstheme="minorHAnsi"/>
        <w:b/>
        <w:sz w:val="20"/>
        <w:szCs w:val="20"/>
      </w:rPr>
      <w:tab/>
    </w:r>
    <w:r w:rsidR="00ED57E7" w:rsidRPr="009500DC">
      <w:rPr>
        <w:rFonts w:cstheme="minorHAnsi"/>
        <w:b/>
        <w:sz w:val="20"/>
        <w:szCs w:val="20"/>
      </w:rPr>
      <w:fldChar w:fldCharType="begin"/>
    </w:r>
    <w:r w:rsidR="00ED57E7" w:rsidRPr="009500DC">
      <w:rPr>
        <w:rFonts w:cstheme="minorHAnsi"/>
        <w:b/>
        <w:sz w:val="20"/>
        <w:szCs w:val="20"/>
      </w:rPr>
      <w:instrText xml:space="preserve"> PAGE   \* MERGEFORMAT </w:instrText>
    </w:r>
    <w:r w:rsidR="00ED57E7" w:rsidRPr="009500DC">
      <w:rPr>
        <w:rFonts w:cstheme="minorHAnsi"/>
        <w:b/>
        <w:sz w:val="20"/>
        <w:szCs w:val="20"/>
      </w:rPr>
      <w:fldChar w:fldCharType="separate"/>
    </w:r>
    <w:r>
      <w:rPr>
        <w:rFonts w:cstheme="minorHAnsi"/>
        <w:b/>
        <w:noProof/>
        <w:sz w:val="20"/>
        <w:szCs w:val="20"/>
      </w:rPr>
      <w:t>1</w:t>
    </w:r>
    <w:r w:rsidR="00ED57E7" w:rsidRPr="009500DC">
      <w:rPr>
        <w:rFonts w:cstheme="minorHAnsi"/>
        <w:b/>
        <w:noProof/>
        <w:sz w:val="20"/>
        <w:szCs w:val="20"/>
      </w:rPr>
      <w:fldChar w:fldCharType="end"/>
    </w:r>
    <w:r w:rsidR="00ED57E7"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7-11-13T00:00:00Z">
          <w:dateFormat w:val="MMMM d, yyyy"/>
          <w:lid w:val="en-US"/>
          <w:storeMappedDataAs w:val="dateTime"/>
          <w:calendar w:val="gregorian"/>
        </w:date>
      </w:sdtPr>
      <w:sdtEndPr/>
      <w:sdtContent>
        <w:r w:rsidR="005B7B06">
          <w:rPr>
            <w:rFonts w:cstheme="minorHAnsi"/>
            <w:b/>
            <w:sz w:val="20"/>
            <w:szCs w:val="20"/>
          </w:rPr>
          <w:t>November 13, 2017</w:t>
        </w:r>
      </w:sdtContent>
    </w:sdt>
  </w:p>
  <w:p w:rsidR="00ED57E7" w:rsidRPr="009500DC" w:rsidRDefault="00724479"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ED57E7">
          <w:rPr>
            <w:rFonts w:cstheme="minorHAnsi"/>
            <w:b/>
            <w:sz w:val="20"/>
            <w:szCs w:val="20"/>
          </w:rPr>
          <w:t>San Diego Gas &amp; Electric</w:t>
        </w:r>
      </w:sdtContent>
    </w:sdt>
  </w:p>
  <w:p w:rsidR="00ED57E7" w:rsidRDefault="00ED57E7"/>
  <w:p w:rsidR="00ED57E7" w:rsidRDefault="00ED57E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5916" w:rsidRDefault="008D5916" w:rsidP="00447D6E">
      <w:r>
        <w:separator/>
      </w:r>
    </w:p>
    <w:p w:rsidR="008D5916" w:rsidRDefault="008D5916"/>
  </w:footnote>
  <w:footnote w:type="continuationSeparator" w:id="0">
    <w:p w:rsidR="008D5916" w:rsidRDefault="008D5916" w:rsidP="00447D6E">
      <w:r>
        <w:continuationSeparator/>
      </w:r>
    </w:p>
    <w:p w:rsidR="008D5916" w:rsidRDefault="008D591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E11909"/>
    <w:multiLevelType w:val="hybridMultilevel"/>
    <w:tmpl w:val="F4921038"/>
    <w:lvl w:ilvl="0" w:tplc="BD38AD24">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7"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9"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1AB2987"/>
    <w:multiLevelType w:val="hybridMultilevel"/>
    <w:tmpl w:val="BA96B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306434"/>
    <w:multiLevelType w:val="hybridMultilevel"/>
    <w:tmpl w:val="E946B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1"/>
  </w:num>
  <w:num w:numId="3">
    <w:abstractNumId w:val="19"/>
  </w:num>
  <w:num w:numId="4">
    <w:abstractNumId w:val="17"/>
  </w:num>
  <w:num w:numId="5">
    <w:abstractNumId w:val="17"/>
  </w:num>
  <w:num w:numId="6">
    <w:abstractNumId w:val="2"/>
  </w:num>
  <w:num w:numId="7">
    <w:abstractNumId w:val="22"/>
  </w:num>
  <w:num w:numId="8">
    <w:abstractNumId w:val="18"/>
  </w:num>
  <w:num w:numId="9">
    <w:abstractNumId w:val="11"/>
  </w:num>
  <w:num w:numId="10">
    <w:abstractNumId w:val="6"/>
  </w:num>
  <w:num w:numId="11">
    <w:abstractNumId w:val="23"/>
  </w:num>
  <w:num w:numId="12">
    <w:abstractNumId w:val="16"/>
  </w:num>
  <w:num w:numId="13">
    <w:abstractNumId w:val="10"/>
  </w:num>
  <w:num w:numId="14">
    <w:abstractNumId w:val="32"/>
  </w:num>
  <w:num w:numId="15">
    <w:abstractNumId w:val="8"/>
  </w:num>
  <w:num w:numId="16">
    <w:abstractNumId w:val="12"/>
  </w:num>
  <w:num w:numId="17">
    <w:abstractNumId w:val="4"/>
  </w:num>
  <w:num w:numId="18">
    <w:abstractNumId w:val="0"/>
  </w:num>
  <w:num w:numId="19">
    <w:abstractNumId w:val="31"/>
  </w:num>
  <w:num w:numId="20">
    <w:abstractNumId w:val="3"/>
  </w:num>
  <w:num w:numId="21">
    <w:abstractNumId w:val="26"/>
  </w:num>
  <w:num w:numId="22">
    <w:abstractNumId w:val="27"/>
  </w:num>
  <w:num w:numId="23">
    <w:abstractNumId w:val="33"/>
  </w:num>
  <w:num w:numId="24">
    <w:abstractNumId w:val="30"/>
  </w:num>
  <w:num w:numId="25">
    <w:abstractNumId w:val="13"/>
  </w:num>
  <w:num w:numId="26">
    <w:abstractNumId w:val="15"/>
  </w:num>
  <w:num w:numId="27">
    <w:abstractNumId w:val="28"/>
  </w:num>
  <w:num w:numId="28">
    <w:abstractNumId w:val="14"/>
  </w:num>
  <w:num w:numId="29">
    <w:abstractNumId w:val="7"/>
  </w:num>
  <w:num w:numId="30">
    <w:abstractNumId w:val="1"/>
  </w:num>
  <w:num w:numId="31">
    <w:abstractNumId w:val="34"/>
  </w:num>
  <w:num w:numId="32">
    <w:abstractNumId w:val="25"/>
  </w:num>
  <w:num w:numId="33">
    <w:abstractNumId w:val="29"/>
  </w:num>
  <w:num w:numId="34">
    <w:abstractNumId w:val="9"/>
  </w:num>
  <w:num w:numId="35">
    <w:abstractNumId w:val="24"/>
  </w:num>
  <w:num w:numId="36">
    <w:abstractNumId w:val="20"/>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5902"/>
    <w:rsid w:val="0001002B"/>
    <w:rsid w:val="00010806"/>
    <w:rsid w:val="00013F71"/>
    <w:rsid w:val="000173BF"/>
    <w:rsid w:val="00024252"/>
    <w:rsid w:val="000245B5"/>
    <w:rsid w:val="00027183"/>
    <w:rsid w:val="00030F63"/>
    <w:rsid w:val="00033EA1"/>
    <w:rsid w:val="00036576"/>
    <w:rsid w:val="0003746D"/>
    <w:rsid w:val="0004020F"/>
    <w:rsid w:val="000436CB"/>
    <w:rsid w:val="00052E17"/>
    <w:rsid w:val="00056947"/>
    <w:rsid w:val="00061A8E"/>
    <w:rsid w:val="00064CB3"/>
    <w:rsid w:val="00064D51"/>
    <w:rsid w:val="00064F2D"/>
    <w:rsid w:val="00070BEE"/>
    <w:rsid w:val="00072040"/>
    <w:rsid w:val="00076DF4"/>
    <w:rsid w:val="00076F51"/>
    <w:rsid w:val="00086F7F"/>
    <w:rsid w:val="0009074D"/>
    <w:rsid w:val="0009592B"/>
    <w:rsid w:val="000968C6"/>
    <w:rsid w:val="000A63C9"/>
    <w:rsid w:val="000A6D69"/>
    <w:rsid w:val="000B3765"/>
    <w:rsid w:val="000B655B"/>
    <w:rsid w:val="000C0000"/>
    <w:rsid w:val="000C18CC"/>
    <w:rsid w:val="000C687D"/>
    <w:rsid w:val="000C7ED1"/>
    <w:rsid w:val="000D789A"/>
    <w:rsid w:val="000E4B5F"/>
    <w:rsid w:val="000E706D"/>
    <w:rsid w:val="000F130A"/>
    <w:rsid w:val="000F4FD8"/>
    <w:rsid w:val="0010660F"/>
    <w:rsid w:val="00107242"/>
    <w:rsid w:val="00111CC5"/>
    <w:rsid w:val="00112BBA"/>
    <w:rsid w:val="001206F7"/>
    <w:rsid w:val="001236C1"/>
    <w:rsid w:val="00133EE8"/>
    <w:rsid w:val="00140B30"/>
    <w:rsid w:val="00147155"/>
    <w:rsid w:val="00153CB3"/>
    <w:rsid w:val="00154C3B"/>
    <w:rsid w:val="00160158"/>
    <w:rsid w:val="00165357"/>
    <w:rsid w:val="001722B7"/>
    <w:rsid w:val="001727D9"/>
    <w:rsid w:val="00174BB4"/>
    <w:rsid w:val="00175D14"/>
    <w:rsid w:val="001811EE"/>
    <w:rsid w:val="00185AD4"/>
    <w:rsid w:val="00190E54"/>
    <w:rsid w:val="001979AF"/>
    <w:rsid w:val="001A0EB4"/>
    <w:rsid w:val="001A1A86"/>
    <w:rsid w:val="001A5F62"/>
    <w:rsid w:val="001B015E"/>
    <w:rsid w:val="001B2301"/>
    <w:rsid w:val="001B618B"/>
    <w:rsid w:val="001C1338"/>
    <w:rsid w:val="001C4140"/>
    <w:rsid w:val="001C5A94"/>
    <w:rsid w:val="001D2317"/>
    <w:rsid w:val="001D3223"/>
    <w:rsid w:val="001D33EF"/>
    <w:rsid w:val="001D5AB3"/>
    <w:rsid w:val="001E0519"/>
    <w:rsid w:val="001E0829"/>
    <w:rsid w:val="001E1320"/>
    <w:rsid w:val="001E556A"/>
    <w:rsid w:val="001F05CE"/>
    <w:rsid w:val="001F1905"/>
    <w:rsid w:val="001F4A65"/>
    <w:rsid w:val="0020128F"/>
    <w:rsid w:val="00205C45"/>
    <w:rsid w:val="0021035B"/>
    <w:rsid w:val="00211153"/>
    <w:rsid w:val="0023254A"/>
    <w:rsid w:val="002344FB"/>
    <w:rsid w:val="00236216"/>
    <w:rsid w:val="002405CD"/>
    <w:rsid w:val="00240B74"/>
    <w:rsid w:val="00243B62"/>
    <w:rsid w:val="0024675B"/>
    <w:rsid w:val="002469DD"/>
    <w:rsid w:val="00247180"/>
    <w:rsid w:val="00254671"/>
    <w:rsid w:val="00257D36"/>
    <w:rsid w:val="00263C1C"/>
    <w:rsid w:val="00271415"/>
    <w:rsid w:val="00274FBE"/>
    <w:rsid w:val="002762E1"/>
    <w:rsid w:val="002811BC"/>
    <w:rsid w:val="0028245A"/>
    <w:rsid w:val="00283DE8"/>
    <w:rsid w:val="00285552"/>
    <w:rsid w:val="00285966"/>
    <w:rsid w:val="00285A0D"/>
    <w:rsid w:val="00290ED8"/>
    <w:rsid w:val="00296B49"/>
    <w:rsid w:val="002A03FC"/>
    <w:rsid w:val="002A1843"/>
    <w:rsid w:val="002A3D26"/>
    <w:rsid w:val="002A523E"/>
    <w:rsid w:val="002B1ADF"/>
    <w:rsid w:val="002B5005"/>
    <w:rsid w:val="002B502E"/>
    <w:rsid w:val="002B657B"/>
    <w:rsid w:val="002C2853"/>
    <w:rsid w:val="002C444C"/>
    <w:rsid w:val="002C458F"/>
    <w:rsid w:val="002C6C20"/>
    <w:rsid w:val="002C6C7A"/>
    <w:rsid w:val="002C7F78"/>
    <w:rsid w:val="002D5277"/>
    <w:rsid w:val="002D5592"/>
    <w:rsid w:val="002D71FA"/>
    <w:rsid w:val="002D73AF"/>
    <w:rsid w:val="002E4FD9"/>
    <w:rsid w:val="002E5B58"/>
    <w:rsid w:val="002F1437"/>
    <w:rsid w:val="002F3943"/>
    <w:rsid w:val="002F4E34"/>
    <w:rsid w:val="002F6A42"/>
    <w:rsid w:val="002F79E7"/>
    <w:rsid w:val="003003EC"/>
    <w:rsid w:val="003035E3"/>
    <w:rsid w:val="0030363A"/>
    <w:rsid w:val="00317970"/>
    <w:rsid w:val="00317EB0"/>
    <w:rsid w:val="00322982"/>
    <w:rsid w:val="00332700"/>
    <w:rsid w:val="003358BD"/>
    <w:rsid w:val="00344E88"/>
    <w:rsid w:val="00345D80"/>
    <w:rsid w:val="003471D4"/>
    <w:rsid w:val="00347B4B"/>
    <w:rsid w:val="00350BF1"/>
    <w:rsid w:val="00353C49"/>
    <w:rsid w:val="003540B1"/>
    <w:rsid w:val="003557E9"/>
    <w:rsid w:val="003560BA"/>
    <w:rsid w:val="00364CC6"/>
    <w:rsid w:val="003650F6"/>
    <w:rsid w:val="0036726C"/>
    <w:rsid w:val="003832D2"/>
    <w:rsid w:val="003845E5"/>
    <w:rsid w:val="00393137"/>
    <w:rsid w:val="00397406"/>
    <w:rsid w:val="003A3170"/>
    <w:rsid w:val="003A360E"/>
    <w:rsid w:val="003D17FF"/>
    <w:rsid w:val="003D2871"/>
    <w:rsid w:val="003D5B83"/>
    <w:rsid w:val="003E6E47"/>
    <w:rsid w:val="003F0623"/>
    <w:rsid w:val="003F33DE"/>
    <w:rsid w:val="003F3A41"/>
    <w:rsid w:val="003F67E9"/>
    <w:rsid w:val="00401031"/>
    <w:rsid w:val="004023B7"/>
    <w:rsid w:val="004045A0"/>
    <w:rsid w:val="00413CDB"/>
    <w:rsid w:val="004200FE"/>
    <w:rsid w:val="00421183"/>
    <w:rsid w:val="00421BA6"/>
    <w:rsid w:val="00421C17"/>
    <w:rsid w:val="00425496"/>
    <w:rsid w:val="00426CDE"/>
    <w:rsid w:val="00433EA1"/>
    <w:rsid w:val="00441957"/>
    <w:rsid w:val="00443D32"/>
    <w:rsid w:val="004469DD"/>
    <w:rsid w:val="004476B2"/>
    <w:rsid w:val="00447CE5"/>
    <w:rsid w:val="00447D6E"/>
    <w:rsid w:val="0045048F"/>
    <w:rsid w:val="0045181B"/>
    <w:rsid w:val="00452133"/>
    <w:rsid w:val="00452C7A"/>
    <w:rsid w:val="00456B53"/>
    <w:rsid w:val="0046286E"/>
    <w:rsid w:val="004673A2"/>
    <w:rsid w:val="00471234"/>
    <w:rsid w:val="00472250"/>
    <w:rsid w:val="0047437C"/>
    <w:rsid w:val="00477522"/>
    <w:rsid w:val="00480E7B"/>
    <w:rsid w:val="004843E5"/>
    <w:rsid w:val="00484BF6"/>
    <w:rsid w:val="0049052C"/>
    <w:rsid w:val="00493457"/>
    <w:rsid w:val="00494628"/>
    <w:rsid w:val="0049566B"/>
    <w:rsid w:val="00497338"/>
    <w:rsid w:val="004A1650"/>
    <w:rsid w:val="004A3876"/>
    <w:rsid w:val="004B1184"/>
    <w:rsid w:val="004B4A3A"/>
    <w:rsid w:val="004B5CE5"/>
    <w:rsid w:val="004B750E"/>
    <w:rsid w:val="004C2244"/>
    <w:rsid w:val="004C23F1"/>
    <w:rsid w:val="004D069A"/>
    <w:rsid w:val="004E01F5"/>
    <w:rsid w:val="004E297E"/>
    <w:rsid w:val="004E76CA"/>
    <w:rsid w:val="004F1698"/>
    <w:rsid w:val="00500C4E"/>
    <w:rsid w:val="00501B2D"/>
    <w:rsid w:val="00505CEC"/>
    <w:rsid w:val="0051020F"/>
    <w:rsid w:val="00513CAB"/>
    <w:rsid w:val="00516CF5"/>
    <w:rsid w:val="00523597"/>
    <w:rsid w:val="00523736"/>
    <w:rsid w:val="00532530"/>
    <w:rsid w:val="00535CA4"/>
    <w:rsid w:val="005476F6"/>
    <w:rsid w:val="00551D72"/>
    <w:rsid w:val="005540B6"/>
    <w:rsid w:val="00554597"/>
    <w:rsid w:val="005552C3"/>
    <w:rsid w:val="00560934"/>
    <w:rsid w:val="00563E58"/>
    <w:rsid w:val="00564960"/>
    <w:rsid w:val="00570654"/>
    <w:rsid w:val="00570F38"/>
    <w:rsid w:val="005720F2"/>
    <w:rsid w:val="005729C8"/>
    <w:rsid w:val="00572D2F"/>
    <w:rsid w:val="005734A4"/>
    <w:rsid w:val="00585DDC"/>
    <w:rsid w:val="00594EF5"/>
    <w:rsid w:val="005A0E53"/>
    <w:rsid w:val="005A1078"/>
    <w:rsid w:val="005A4658"/>
    <w:rsid w:val="005A496B"/>
    <w:rsid w:val="005B28C1"/>
    <w:rsid w:val="005B6344"/>
    <w:rsid w:val="005B6A53"/>
    <w:rsid w:val="005B7B06"/>
    <w:rsid w:val="005C1C74"/>
    <w:rsid w:val="005C2E48"/>
    <w:rsid w:val="005C3F23"/>
    <w:rsid w:val="005D2574"/>
    <w:rsid w:val="005D4DD7"/>
    <w:rsid w:val="005E12A9"/>
    <w:rsid w:val="005F139E"/>
    <w:rsid w:val="005F69D5"/>
    <w:rsid w:val="00602799"/>
    <w:rsid w:val="00602F18"/>
    <w:rsid w:val="00607C30"/>
    <w:rsid w:val="006110F3"/>
    <w:rsid w:val="00612041"/>
    <w:rsid w:val="00614AFF"/>
    <w:rsid w:val="00621ABA"/>
    <w:rsid w:val="0062322A"/>
    <w:rsid w:val="00631157"/>
    <w:rsid w:val="006404E6"/>
    <w:rsid w:val="0064680F"/>
    <w:rsid w:val="0064729D"/>
    <w:rsid w:val="00647ABE"/>
    <w:rsid w:val="006516BA"/>
    <w:rsid w:val="00664B05"/>
    <w:rsid w:val="00665C04"/>
    <w:rsid w:val="0066682D"/>
    <w:rsid w:val="006746FE"/>
    <w:rsid w:val="00676E9F"/>
    <w:rsid w:val="00680934"/>
    <w:rsid w:val="00685D5C"/>
    <w:rsid w:val="0069264D"/>
    <w:rsid w:val="0069578B"/>
    <w:rsid w:val="00697868"/>
    <w:rsid w:val="006A055F"/>
    <w:rsid w:val="006A126F"/>
    <w:rsid w:val="006A14E9"/>
    <w:rsid w:val="006A2A65"/>
    <w:rsid w:val="006A5293"/>
    <w:rsid w:val="006A67E4"/>
    <w:rsid w:val="006A6D15"/>
    <w:rsid w:val="006B0DF3"/>
    <w:rsid w:val="006B0F11"/>
    <w:rsid w:val="006B27FA"/>
    <w:rsid w:val="006B4A48"/>
    <w:rsid w:val="006C215C"/>
    <w:rsid w:val="006C2C55"/>
    <w:rsid w:val="006C430A"/>
    <w:rsid w:val="006D2809"/>
    <w:rsid w:val="006E27A3"/>
    <w:rsid w:val="006E3342"/>
    <w:rsid w:val="006E4B12"/>
    <w:rsid w:val="006E65D0"/>
    <w:rsid w:val="006F1B21"/>
    <w:rsid w:val="006F21E8"/>
    <w:rsid w:val="006F78D5"/>
    <w:rsid w:val="0070091B"/>
    <w:rsid w:val="007048AC"/>
    <w:rsid w:val="00714A8B"/>
    <w:rsid w:val="00724479"/>
    <w:rsid w:val="00726338"/>
    <w:rsid w:val="00726AD5"/>
    <w:rsid w:val="00733C7D"/>
    <w:rsid w:val="00740761"/>
    <w:rsid w:val="00745F77"/>
    <w:rsid w:val="007464DE"/>
    <w:rsid w:val="007529EA"/>
    <w:rsid w:val="00755A45"/>
    <w:rsid w:val="00760CDC"/>
    <w:rsid w:val="00764D0D"/>
    <w:rsid w:val="00777401"/>
    <w:rsid w:val="00777C53"/>
    <w:rsid w:val="00786E92"/>
    <w:rsid w:val="007933F1"/>
    <w:rsid w:val="007A5F52"/>
    <w:rsid w:val="007B090A"/>
    <w:rsid w:val="007E43F8"/>
    <w:rsid w:val="007E5076"/>
    <w:rsid w:val="007E656B"/>
    <w:rsid w:val="007F2997"/>
    <w:rsid w:val="007F50E8"/>
    <w:rsid w:val="007F54E2"/>
    <w:rsid w:val="007F7FBA"/>
    <w:rsid w:val="00800319"/>
    <w:rsid w:val="0080044E"/>
    <w:rsid w:val="00800706"/>
    <w:rsid w:val="0080189A"/>
    <w:rsid w:val="00801F7F"/>
    <w:rsid w:val="00803C2B"/>
    <w:rsid w:val="00811945"/>
    <w:rsid w:val="00824F1C"/>
    <w:rsid w:val="00826688"/>
    <w:rsid w:val="0083369B"/>
    <w:rsid w:val="00835D38"/>
    <w:rsid w:val="00847A4E"/>
    <w:rsid w:val="00847D0B"/>
    <w:rsid w:val="00857614"/>
    <w:rsid w:val="00866910"/>
    <w:rsid w:val="00871D79"/>
    <w:rsid w:val="0087393E"/>
    <w:rsid w:val="00881A42"/>
    <w:rsid w:val="00882386"/>
    <w:rsid w:val="0088361D"/>
    <w:rsid w:val="00885E0A"/>
    <w:rsid w:val="0088603B"/>
    <w:rsid w:val="008877AF"/>
    <w:rsid w:val="00893FC3"/>
    <w:rsid w:val="0089577B"/>
    <w:rsid w:val="008B1024"/>
    <w:rsid w:val="008B1357"/>
    <w:rsid w:val="008B2DF3"/>
    <w:rsid w:val="008C2E0E"/>
    <w:rsid w:val="008C4DE0"/>
    <w:rsid w:val="008C6EC8"/>
    <w:rsid w:val="008D3930"/>
    <w:rsid w:val="008D5916"/>
    <w:rsid w:val="008D67F9"/>
    <w:rsid w:val="008E17CC"/>
    <w:rsid w:val="008E25B1"/>
    <w:rsid w:val="008E56FB"/>
    <w:rsid w:val="008F0AC0"/>
    <w:rsid w:val="008F2167"/>
    <w:rsid w:val="008F33B4"/>
    <w:rsid w:val="008F6298"/>
    <w:rsid w:val="008F7A3C"/>
    <w:rsid w:val="0090077A"/>
    <w:rsid w:val="00900F47"/>
    <w:rsid w:val="00901BA2"/>
    <w:rsid w:val="00904ADA"/>
    <w:rsid w:val="00907697"/>
    <w:rsid w:val="00910A69"/>
    <w:rsid w:val="009138A0"/>
    <w:rsid w:val="0091424C"/>
    <w:rsid w:val="00917DE4"/>
    <w:rsid w:val="00920905"/>
    <w:rsid w:val="00922B85"/>
    <w:rsid w:val="00930CDC"/>
    <w:rsid w:val="00931E45"/>
    <w:rsid w:val="00933188"/>
    <w:rsid w:val="00935AF9"/>
    <w:rsid w:val="009403A5"/>
    <w:rsid w:val="009500DC"/>
    <w:rsid w:val="00951923"/>
    <w:rsid w:val="00972C81"/>
    <w:rsid w:val="009824E9"/>
    <w:rsid w:val="009826E5"/>
    <w:rsid w:val="009844A1"/>
    <w:rsid w:val="00986E20"/>
    <w:rsid w:val="00995479"/>
    <w:rsid w:val="00995CB0"/>
    <w:rsid w:val="00997E77"/>
    <w:rsid w:val="009A2734"/>
    <w:rsid w:val="009B2A02"/>
    <w:rsid w:val="009B2B61"/>
    <w:rsid w:val="009B5B7B"/>
    <w:rsid w:val="009C1777"/>
    <w:rsid w:val="009C2C86"/>
    <w:rsid w:val="009C6FE0"/>
    <w:rsid w:val="009D0753"/>
    <w:rsid w:val="009D10A4"/>
    <w:rsid w:val="009D5131"/>
    <w:rsid w:val="009D6F71"/>
    <w:rsid w:val="009E1802"/>
    <w:rsid w:val="009E1CDE"/>
    <w:rsid w:val="009E2B06"/>
    <w:rsid w:val="009E3829"/>
    <w:rsid w:val="009E51E2"/>
    <w:rsid w:val="009F7A61"/>
    <w:rsid w:val="00A11800"/>
    <w:rsid w:val="00A11C16"/>
    <w:rsid w:val="00A1423E"/>
    <w:rsid w:val="00A17664"/>
    <w:rsid w:val="00A20FAF"/>
    <w:rsid w:val="00A24520"/>
    <w:rsid w:val="00A3164A"/>
    <w:rsid w:val="00A37F42"/>
    <w:rsid w:val="00A40886"/>
    <w:rsid w:val="00A4411F"/>
    <w:rsid w:val="00A500D6"/>
    <w:rsid w:val="00A523FF"/>
    <w:rsid w:val="00A54756"/>
    <w:rsid w:val="00A54C66"/>
    <w:rsid w:val="00A57D36"/>
    <w:rsid w:val="00A61BB6"/>
    <w:rsid w:val="00A65734"/>
    <w:rsid w:val="00A6687F"/>
    <w:rsid w:val="00A67907"/>
    <w:rsid w:val="00A7062E"/>
    <w:rsid w:val="00A73CC1"/>
    <w:rsid w:val="00A80270"/>
    <w:rsid w:val="00A82DB1"/>
    <w:rsid w:val="00A84127"/>
    <w:rsid w:val="00A86DA2"/>
    <w:rsid w:val="00A90DFC"/>
    <w:rsid w:val="00A91BF3"/>
    <w:rsid w:val="00AA0A9C"/>
    <w:rsid w:val="00AA16C0"/>
    <w:rsid w:val="00AA315C"/>
    <w:rsid w:val="00AA4CDC"/>
    <w:rsid w:val="00AB21D4"/>
    <w:rsid w:val="00AB21F5"/>
    <w:rsid w:val="00AB3386"/>
    <w:rsid w:val="00AB36DB"/>
    <w:rsid w:val="00AC0B1D"/>
    <w:rsid w:val="00AC2F5B"/>
    <w:rsid w:val="00AC3DAD"/>
    <w:rsid w:val="00AC5309"/>
    <w:rsid w:val="00AC5B97"/>
    <w:rsid w:val="00AD4DD0"/>
    <w:rsid w:val="00AE0A8D"/>
    <w:rsid w:val="00AF6342"/>
    <w:rsid w:val="00B053FB"/>
    <w:rsid w:val="00B05647"/>
    <w:rsid w:val="00B06F46"/>
    <w:rsid w:val="00B07EE5"/>
    <w:rsid w:val="00B21CC5"/>
    <w:rsid w:val="00B26778"/>
    <w:rsid w:val="00B26B83"/>
    <w:rsid w:val="00B32479"/>
    <w:rsid w:val="00B33FE2"/>
    <w:rsid w:val="00B403ED"/>
    <w:rsid w:val="00B4065F"/>
    <w:rsid w:val="00B40D5A"/>
    <w:rsid w:val="00B45091"/>
    <w:rsid w:val="00B45447"/>
    <w:rsid w:val="00B605E3"/>
    <w:rsid w:val="00B614F1"/>
    <w:rsid w:val="00B866B4"/>
    <w:rsid w:val="00B94226"/>
    <w:rsid w:val="00BA0A8C"/>
    <w:rsid w:val="00BA0CEB"/>
    <w:rsid w:val="00BA2383"/>
    <w:rsid w:val="00BA2E7E"/>
    <w:rsid w:val="00BA590A"/>
    <w:rsid w:val="00BA5FE4"/>
    <w:rsid w:val="00BB0B39"/>
    <w:rsid w:val="00BB30D1"/>
    <w:rsid w:val="00BB39D8"/>
    <w:rsid w:val="00BB5F75"/>
    <w:rsid w:val="00BC6524"/>
    <w:rsid w:val="00BD3931"/>
    <w:rsid w:val="00BD5B88"/>
    <w:rsid w:val="00BD5F58"/>
    <w:rsid w:val="00BE0AEB"/>
    <w:rsid w:val="00C018E0"/>
    <w:rsid w:val="00C05AAF"/>
    <w:rsid w:val="00C118C7"/>
    <w:rsid w:val="00C20877"/>
    <w:rsid w:val="00C20E7B"/>
    <w:rsid w:val="00C21456"/>
    <w:rsid w:val="00C24D03"/>
    <w:rsid w:val="00C25E61"/>
    <w:rsid w:val="00C35A1B"/>
    <w:rsid w:val="00C413F3"/>
    <w:rsid w:val="00C54EFF"/>
    <w:rsid w:val="00C55D03"/>
    <w:rsid w:val="00C63548"/>
    <w:rsid w:val="00C63F96"/>
    <w:rsid w:val="00C65450"/>
    <w:rsid w:val="00C677AF"/>
    <w:rsid w:val="00C67E59"/>
    <w:rsid w:val="00C72B8B"/>
    <w:rsid w:val="00C72CB5"/>
    <w:rsid w:val="00C76D4F"/>
    <w:rsid w:val="00C805BC"/>
    <w:rsid w:val="00C959CA"/>
    <w:rsid w:val="00C95D16"/>
    <w:rsid w:val="00CA2AB4"/>
    <w:rsid w:val="00CB0100"/>
    <w:rsid w:val="00CB04D2"/>
    <w:rsid w:val="00CB1248"/>
    <w:rsid w:val="00CD7EFE"/>
    <w:rsid w:val="00CE0429"/>
    <w:rsid w:val="00CE0C66"/>
    <w:rsid w:val="00CE28CF"/>
    <w:rsid w:val="00CE4386"/>
    <w:rsid w:val="00CE4CDC"/>
    <w:rsid w:val="00CE5BEB"/>
    <w:rsid w:val="00CE69E9"/>
    <w:rsid w:val="00CE71F2"/>
    <w:rsid w:val="00CF3F65"/>
    <w:rsid w:val="00CF464D"/>
    <w:rsid w:val="00CF63D6"/>
    <w:rsid w:val="00D17EF4"/>
    <w:rsid w:val="00D23770"/>
    <w:rsid w:val="00D25074"/>
    <w:rsid w:val="00D34517"/>
    <w:rsid w:val="00D36798"/>
    <w:rsid w:val="00D47E80"/>
    <w:rsid w:val="00D70563"/>
    <w:rsid w:val="00D70D89"/>
    <w:rsid w:val="00D72051"/>
    <w:rsid w:val="00D7380B"/>
    <w:rsid w:val="00D75D77"/>
    <w:rsid w:val="00D7639E"/>
    <w:rsid w:val="00D81764"/>
    <w:rsid w:val="00D835EF"/>
    <w:rsid w:val="00D85F09"/>
    <w:rsid w:val="00D86A9D"/>
    <w:rsid w:val="00DA089A"/>
    <w:rsid w:val="00DA11A0"/>
    <w:rsid w:val="00DA2822"/>
    <w:rsid w:val="00DA5D77"/>
    <w:rsid w:val="00DA690B"/>
    <w:rsid w:val="00DA7225"/>
    <w:rsid w:val="00DB44E9"/>
    <w:rsid w:val="00DC0AA6"/>
    <w:rsid w:val="00DC1966"/>
    <w:rsid w:val="00DC3259"/>
    <w:rsid w:val="00DD0523"/>
    <w:rsid w:val="00DE5758"/>
    <w:rsid w:val="00DE5FCF"/>
    <w:rsid w:val="00DF0D19"/>
    <w:rsid w:val="00DF2EE9"/>
    <w:rsid w:val="00DF6FD8"/>
    <w:rsid w:val="00E05A80"/>
    <w:rsid w:val="00E06A37"/>
    <w:rsid w:val="00E071A5"/>
    <w:rsid w:val="00E07752"/>
    <w:rsid w:val="00E16609"/>
    <w:rsid w:val="00E16D34"/>
    <w:rsid w:val="00E16F08"/>
    <w:rsid w:val="00E233F3"/>
    <w:rsid w:val="00E26B34"/>
    <w:rsid w:val="00E314BA"/>
    <w:rsid w:val="00E325BE"/>
    <w:rsid w:val="00E326BA"/>
    <w:rsid w:val="00E34202"/>
    <w:rsid w:val="00E37286"/>
    <w:rsid w:val="00E37F72"/>
    <w:rsid w:val="00E40BE5"/>
    <w:rsid w:val="00E40CF9"/>
    <w:rsid w:val="00E42A30"/>
    <w:rsid w:val="00E5625D"/>
    <w:rsid w:val="00E648BB"/>
    <w:rsid w:val="00E67ACA"/>
    <w:rsid w:val="00E76B31"/>
    <w:rsid w:val="00E81F3E"/>
    <w:rsid w:val="00E844BB"/>
    <w:rsid w:val="00E84C48"/>
    <w:rsid w:val="00E859BD"/>
    <w:rsid w:val="00E86B70"/>
    <w:rsid w:val="00E87C8F"/>
    <w:rsid w:val="00E924C3"/>
    <w:rsid w:val="00E954EE"/>
    <w:rsid w:val="00E96759"/>
    <w:rsid w:val="00EA4437"/>
    <w:rsid w:val="00EA4D87"/>
    <w:rsid w:val="00EB34FC"/>
    <w:rsid w:val="00EB76E1"/>
    <w:rsid w:val="00EC2499"/>
    <w:rsid w:val="00ED57E7"/>
    <w:rsid w:val="00EE4120"/>
    <w:rsid w:val="00EF2E8A"/>
    <w:rsid w:val="00EF4E6B"/>
    <w:rsid w:val="00EF5416"/>
    <w:rsid w:val="00F06CCF"/>
    <w:rsid w:val="00F1053D"/>
    <w:rsid w:val="00F110D5"/>
    <w:rsid w:val="00F11E63"/>
    <w:rsid w:val="00F12733"/>
    <w:rsid w:val="00F171E1"/>
    <w:rsid w:val="00F20DCF"/>
    <w:rsid w:val="00F25B36"/>
    <w:rsid w:val="00F3052A"/>
    <w:rsid w:val="00F341E3"/>
    <w:rsid w:val="00F35D09"/>
    <w:rsid w:val="00F4304D"/>
    <w:rsid w:val="00F46612"/>
    <w:rsid w:val="00F4752B"/>
    <w:rsid w:val="00F476E8"/>
    <w:rsid w:val="00F541AE"/>
    <w:rsid w:val="00F56792"/>
    <w:rsid w:val="00F571A6"/>
    <w:rsid w:val="00F6018B"/>
    <w:rsid w:val="00F60265"/>
    <w:rsid w:val="00F60E32"/>
    <w:rsid w:val="00F644FF"/>
    <w:rsid w:val="00F65ABA"/>
    <w:rsid w:val="00F65E15"/>
    <w:rsid w:val="00F7242E"/>
    <w:rsid w:val="00F74B33"/>
    <w:rsid w:val="00F810DD"/>
    <w:rsid w:val="00F90EB1"/>
    <w:rsid w:val="00F95E2F"/>
    <w:rsid w:val="00F96DEB"/>
    <w:rsid w:val="00FA1872"/>
    <w:rsid w:val="00FA4F34"/>
    <w:rsid w:val="00FB2590"/>
    <w:rsid w:val="00FD5A8C"/>
    <w:rsid w:val="00FE286E"/>
    <w:rsid w:val="00FE3233"/>
    <w:rsid w:val="00FE4C68"/>
    <w:rsid w:val="00FE5FAF"/>
    <w:rsid w:val="00FE6D74"/>
    <w:rsid w:val="00FF0FEF"/>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ACF62F85-CD53-4266-AE91-0DF7DE96C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customStyle="1" w:styleId="Calibri11Char">
    <w:name w:val="Calibri 11 Char"/>
    <w:basedOn w:val="DefaultParagraphFont"/>
    <w:link w:val="Calibri11"/>
    <w:locked/>
    <w:rsid w:val="002B5005"/>
    <w:rPr>
      <w:rFonts w:ascii="Trebuchet MS" w:eastAsia="Times New Roman" w:hAnsi="Trebuchet MS" w:cstheme="minorHAnsi"/>
      <w:color w:val="FF0000"/>
      <w:sz w:val="24"/>
      <w:szCs w:val="24"/>
    </w:rPr>
  </w:style>
  <w:style w:type="paragraph" w:customStyle="1" w:styleId="Calibri11">
    <w:name w:val="Calibri 11"/>
    <w:basedOn w:val="Normal"/>
    <w:link w:val="Calibri11Char"/>
    <w:qFormat/>
    <w:rsid w:val="002B5005"/>
    <w:pPr>
      <w:spacing w:before="40" w:after="40"/>
    </w:pPr>
    <w:rPr>
      <w:rFonts w:ascii="Trebuchet MS" w:hAnsi="Trebuchet MS" w:cstheme="minorHAnsi"/>
      <w:color w:val="FF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46151"/>
    <w:rsid w:val="00204A7F"/>
    <w:rsid w:val="002621FE"/>
    <w:rsid w:val="002B514B"/>
    <w:rsid w:val="002C0C03"/>
    <w:rsid w:val="002D5B80"/>
    <w:rsid w:val="00311B0D"/>
    <w:rsid w:val="003A131F"/>
    <w:rsid w:val="00545036"/>
    <w:rsid w:val="00560392"/>
    <w:rsid w:val="005717CB"/>
    <w:rsid w:val="006B7FA8"/>
    <w:rsid w:val="008211B5"/>
    <w:rsid w:val="00826C2D"/>
    <w:rsid w:val="00874653"/>
    <w:rsid w:val="00A5022A"/>
    <w:rsid w:val="00AE4C28"/>
    <w:rsid w:val="00B06178"/>
    <w:rsid w:val="00B27E71"/>
    <w:rsid w:val="00B462D4"/>
    <w:rsid w:val="00B73964"/>
    <w:rsid w:val="00B74704"/>
    <w:rsid w:val="00C947B8"/>
    <w:rsid w:val="00CA6CD6"/>
    <w:rsid w:val="00D0496D"/>
    <w:rsid w:val="00D051F5"/>
    <w:rsid w:val="00EC59D9"/>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2017-11-13T00:00:00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771B53C-65EA-4A7A-8D94-A0400E45C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1707</Words>
  <Characters>9733</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WPSDGEREMI006</vt:lpstr>
    </vt:vector>
  </TitlesOfParts>
  <Company>San Diego Gas &amp; Electric</Company>
  <LinksUpToDate>false</LinksUpToDate>
  <CharactersWithSpaces>11418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WPSDGEREMI006</dc:title>
  <dc:creator>Jim Wyatt (PG&amp;E);Jason Wang (SCE)</dc:creator>
  <cp:lastModifiedBy>Valenzuela, Kelvin</cp:lastModifiedBy>
  <cp:revision>2</cp:revision>
  <dcterms:created xsi:type="dcterms:W3CDTF">2017-11-14T19:45:00Z</dcterms:created>
  <dcterms:modified xsi:type="dcterms:W3CDTF">2017-11-14T19:45:00Z</dcterms:modified>
  <cp:contentStatus>Revision 0</cp:contentStatus>
</cp:coreProperties>
</file>